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6C1" w:rsidRPr="00773FC9" w:rsidRDefault="00AB16C1" w:rsidP="00CA0862">
      <w:pPr>
        <w:tabs>
          <w:tab w:val="left" w:pos="3493"/>
          <w:tab w:val="center" w:pos="4536"/>
        </w:tabs>
        <w:jc w:val="center"/>
        <w:rPr>
          <w:rFonts w:ascii="Arial" w:hAnsi="Arial" w:cs="Arial"/>
          <w:b/>
          <w:color w:val="0070C0"/>
          <w:sz w:val="28"/>
          <w:szCs w:val="28"/>
        </w:rPr>
      </w:pPr>
      <w:bookmarkStart w:id="0" w:name="_GoBack"/>
      <w:bookmarkEnd w:id="0"/>
      <w:r w:rsidRPr="00773FC9">
        <w:rPr>
          <w:rFonts w:ascii="Arial" w:hAnsi="Arial" w:cs="Arial"/>
          <w:b/>
          <w:color w:val="0070C0"/>
          <w:sz w:val="28"/>
          <w:szCs w:val="28"/>
        </w:rPr>
        <w:t>Stanovisko</w:t>
      </w:r>
    </w:p>
    <w:p w:rsidR="00E90BEC" w:rsidRPr="00773FC9" w:rsidRDefault="00AB16C1" w:rsidP="00E90BEC">
      <w:pPr>
        <w:pBdr>
          <w:bottom w:val="single" w:sz="6" w:space="1" w:color="auto"/>
        </w:pBdr>
        <w:spacing w:after="120" w:line="276" w:lineRule="auto"/>
        <w:jc w:val="center"/>
        <w:rPr>
          <w:rFonts w:ascii="Arial" w:hAnsi="Arial" w:cs="Arial"/>
          <w:b/>
          <w:color w:val="0070C0"/>
          <w:sz w:val="28"/>
          <w:szCs w:val="28"/>
        </w:rPr>
      </w:pPr>
      <w:r w:rsidRPr="00773FC9">
        <w:rPr>
          <w:rFonts w:ascii="Arial" w:hAnsi="Arial" w:cs="Arial"/>
          <w:b/>
          <w:color w:val="0070C0"/>
          <w:sz w:val="28"/>
          <w:szCs w:val="28"/>
        </w:rPr>
        <w:t>Rady pro výzkum, vývoj a inovace k</w:t>
      </w:r>
      <w:r w:rsidR="00A16FCD" w:rsidRPr="00773FC9">
        <w:rPr>
          <w:rFonts w:ascii="Arial" w:hAnsi="Arial" w:cs="Arial"/>
          <w:b/>
          <w:color w:val="0070C0"/>
          <w:sz w:val="28"/>
          <w:szCs w:val="28"/>
        </w:rPr>
        <w:t xml:space="preserve"> Návrhu </w:t>
      </w:r>
      <w:r w:rsidR="00E90BEC" w:rsidRPr="00773FC9">
        <w:rPr>
          <w:rFonts w:ascii="Arial" w:hAnsi="Arial" w:cs="Arial"/>
          <w:b/>
          <w:color w:val="0070C0"/>
          <w:sz w:val="28"/>
          <w:szCs w:val="28"/>
        </w:rPr>
        <w:t xml:space="preserve">na </w:t>
      </w:r>
      <w:r w:rsidR="00A16FCD" w:rsidRPr="00773FC9">
        <w:rPr>
          <w:rFonts w:ascii="Arial" w:hAnsi="Arial" w:cs="Arial"/>
          <w:b/>
          <w:color w:val="0070C0"/>
          <w:sz w:val="28"/>
          <w:szCs w:val="28"/>
        </w:rPr>
        <w:t>změn</w:t>
      </w:r>
      <w:r w:rsidR="00E90BEC" w:rsidRPr="00773FC9">
        <w:rPr>
          <w:rFonts w:ascii="Arial" w:hAnsi="Arial" w:cs="Arial"/>
          <w:b/>
          <w:color w:val="0070C0"/>
          <w:sz w:val="28"/>
          <w:szCs w:val="28"/>
        </w:rPr>
        <w:t>u</w:t>
      </w:r>
      <w:r w:rsidR="00A16FCD" w:rsidRPr="00773FC9">
        <w:rPr>
          <w:rFonts w:ascii="Arial" w:hAnsi="Arial" w:cs="Arial"/>
          <w:b/>
          <w:color w:val="0070C0"/>
          <w:sz w:val="28"/>
          <w:szCs w:val="28"/>
        </w:rPr>
        <w:t xml:space="preserve"> programu</w:t>
      </w:r>
      <w:r w:rsidRPr="00773FC9">
        <w:rPr>
          <w:rFonts w:ascii="Arial" w:hAnsi="Arial" w:cs="Arial"/>
          <w:b/>
          <w:color w:val="0070C0"/>
          <w:sz w:val="28"/>
          <w:szCs w:val="28"/>
        </w:rPr>
        <w:t xml:space="preserve"> aplikovaného výzkumu </w:t>
      </w:r>
      <w:r w:rsidR="00773FC9" w:rsidRPr="00773FC9">
        <w:rPr>
          <w:rFonts w:ascii="Arial" w:hAnsi="Arial" w:cs="Arial"/>
          <w:b/>
          <w:color w:val="0070C0"/>
          <w:sz w:val="28"/>
          <w:szCs w:val="28"/>
        </w:rPr>
        <w:t>a experimentálního vývoje EPSILON</w:t>
      </w:r>
    </w:p>
    <w:p w:rsidR="00AB16C1" w:rsidRPr="00773FC9" w:rsidRDefault="00AB16C1" w:rsidP="0057279E">
      <w:pPr>
        <w:pStyle w:val="Zkladntext2"/>
        <w:numPr>
          <w:ilvl w:val="0"/>
          <w:numId w:val="2"/>
        </w:numPr>
        <w:spacing w:after="120"/>
        <w:ind w:left="0" w:firstLine="0"/>
        <w:jc w:val="both"/>
        <w:rPr>
          <w:rFonts w:ascii="Arial" w:hAnsi="Arial" w:cs="Arial"/>
          <w:b/>
          <w:color w:val="0070C0"/>
          <w:szCs w:val="24"/>
        </w:rPr>
      </w:pPr>
      <w:r w:rsidRPr="00773FC9">
        <w:rPr>
          <w:rFonts w:ascii="Arial" w:hAnsi="Arial" w:cs="Arial"/>
          <w:b/>
          <w:color w:val="0070C0"/>
          <w:szCs w:val="24"/>
        </w:rPr>
        <w:t>Způsob předložení návrhu</w:t>
      </w:r>
    </w:p>
    <w:p w:rsidR="008D38F1" w:rsidRPr="00773FC9" w:rsidRDefault="00773FC9" w:rsidP="0057279E">
      <w:pPr>
        <w:pStyle w:val="Zkladntext2"/>
        <w:spacing w:after="120"/>
        <w:jc w:val="both"/>
        <w:rPr>
          <w:rFonts w:ascii="Arial" w:hAnsi="Arial" w:cs="Arial"/>
          <w:szCs w:val="24"/>
        </w:rPr>
      </w:pPr>
      <w:r>
        <w:rPr>
          <w:rFonts w:ascii="Arial" w:hAnsi="Arial" w:cs="Arial"/>
          <w:szCs w:val="24"/>
        </w:rPr>
        <w:t xml:space="preserve">Předseda </w:t>
      </w:r>
      <w:r w:rsidR="00E90BEC" w:rsidRPr="00773FC9">
        <w:rPr>
          <w:rFonts w:ascii="Arial" w:hAnsi="Arial" w:cs="Arial"/>
          <w:szCs w:val="24"/>
        </w:rPr>
        <w:t>Technologick</w:t>
      </w:r>
      <w:r>
        <w:rPr>
          <w:rFonts w:ascii="Arial" w:hAnsi="Arial" w:cs="Arial"/>
          <w:szCs w:val="24"/>
        </w:rPr>
        <w:t>é</w:t>
      </w:r>
      <w:r w:rsidR="00E90BEC" w:rsidRPr="00773FC9">
        <w:rPr>
          <w:rFonts w:ascii="Arial" w:hAnsi="Arial" w:cs="Arial"/>
          <w:szCs w:val="24"/>
        </w:rPr>
        <w:t xml:space="preserve"> agentur</w:t>
      </w:r>
      <w:r>
        <w:rPr>
          <w:rFonts w:ascii="Arial" w:hAnsi="Arial" w:cs="Arial"/>
          <w:szCs w:val="24"/>
        </w:rPr>
        <w:t>y</w:t>
      </w:r>
      <w:r w:rsidR="00E90BEC" w:rsidRPr="00773FC9">
        <w:rPr>
          <w:rFonts w:ascii="Arial" w:hAnsi="Arial" w:cs="Arial"/>
          <w:szCs w:val="24"/>
        </w:rPr>
        <w:t xml:space="preserve"> České republiky</w:t>
      </w:r>
      <w:r w:rsidR="00A16FCD" w:rsidRPr="00773FC9">
        <w:rPr>
          <w:rFonts w:ascii="Arial" w:hAnsi="Arial" w:cs="Arial"/>
          <w:szCs w:val="24"/>
        </w:rPr>
        <w:t xml:space="preserve"> (dále jen „</w:t>
      </w:r>
      <w:r w:rsidR="00E90BEC" w:rsidRPr="00773FC9">
        <w:rPr>
          <w:rFonts w:ascii="Arial" w:hAnsi="Arial" w:cs="Arial"/>
          <w:szCs w:val="24"/>
        </w:rPr>
        <w:t>TA</w:t>
      </w:r>
      <w:r w:rsidR="005430CF" w:rsidRPr="00773FC9">
        <w:rPr>
          <w:rFonts w:ascii="Arial" w:hAnsi="Arial" w:cs="Arial"/>
          <w:szCs w:val="24"/>
        </w:rPr>
        <w:t xml:space="preserve"> </w:t>
      </w:r>
      <w:r w:rsidR="00E90BEC" w:rsidRPr="00773FC9">
        <w:rPr>
          <w:rFonts w:ascii="Arial" w:hAnsi="Arial" w:cs="Arial"/>
          <w:szCs w:val="24"/>
        </w:rPr>
        <w:t>ČR</w:t>
      </w:r>
      <w:r w:rsidR="00A16FCD" w:rsidRPr="00773FC9">
        <w:rPr>
          <w:rFonts w:ascii="Arial" w:hAnsi="Arial" w:cs="Arial"/>
          <w:szCs w:val="24"/>
        </w:rPr>
        <w:t xml:space="preserve">“) </w:t>
      </w:r>
      <w:r>
        <w:rPr>
          <w:rFonts w:ascii="Arial" w:hAnsi="Arial" w:cs="Arial"/>
          <w:szCs w:val="24"/>
        </w:rPr>
        <w:t xml:space="preserve">Petr Konvalinka </w:t>
      </w:r>
      <w:r w:rsidR="00F01371">
        <w:rPr>
          <w:rFonts w:ascii="Arial" w:hAnsi="Arial" w:cs="Arial"/>
          <w:szCs w:val="24"/>
        </w:rPr>
        <w:t>zaslal</w:t>
      </w:r>
      <w:r>
        <w:rPr>
          <w:rFonts w:ascii="Arial" w:hAnsi="Arial" w:cs="Arial"/>
          <w:szCs w:val="24"/>
        </w:rPr>
        <w:t xml:space="preserve"> dopisem ze dne 20. listopadu 2019</w:t>
      </w:r>
      <w:r w:rsidR="00A16FCD" w:rsidRPr="00773FC9">
        <w:rPr>
          <w:rFonts w:ascii="Arial" w:hAnsi="Arial" w:cs="Arial"/>
          <w:szCs w:val="24"/>
        </w:rPr>
        <w:t xml:space="preserve"> Radě pro</w:t>
      </w:r>
      <w:r w:rsidR="00E90BEC" w:rsidRPr="00773FC9">
        <w:rPr>
          <w:rFonts w:ascii="Arial" w:hAnsi="Arial" w:cs="Arial"/>
          <w:szCs w:val="24"/>
        </w:rPr>
        <w:t> </w:t>
      </w:r>
      <w:r w:rsidR="00A16FCD" w:rsidRPr="00773FC9">
        <w:rPr>
          <w:rFonts w:ascii="Arial" w:hAnsi="Arial" w:cs="Arial"/>
          <w:szCs w:val="24"/>
        </w:rPr>
        <w:t xml:space="preserve">výzkum, vývoj a inovace </w:t>
      </w:r>
      <w:r w:rsidR="00C90B71" w:rsidRPr="00773FC9">
        <w:rPr>
          <w:rFonts w:ascii="Arial" w:hAnsi="Arial" w:cs="Arial"/>
          <w:szCs w:val="24"/>
        </w:rPr>
        <w:t xml:space="preserve">(dále jen „Rada“) ke stanovisku Návrh </w:t>
      </w:r>
      <w:r w:rsidR="00E90BEC" w:rsidRPr="00773FC9">
        <w:rPr>
          <w:rFonts w:ascii="Arial" w:hAnsi="Arial" w:cs="Arial"/>
          <w:szCs w:val="24"/>
        </w:rPr>
        <w:t xml:space="preserve">na </w:t>
      </w:r>
      <w:r w:rsidR="00C90B71" w:rsidRPr="00773FC9">
        <w:rPr>
          <w:rFonts w:ascii="Arial" w:hAnsi="Arial" w:cs="Arial"/>
          <w:szCs w:val="24"/>
        </w:rPr>
        <w:t>změn</w:t>
      </w:r>
      <w:r w:rsidR="00E90BEC" w:rsidRPr="00773FC9">
        <w:rPr>
          <w:rFonts w:ascii="Arial" w:hAnsi="Arial" w:cs="Arial"/>
          <w:szCs w:val="24"/>
        </w:rPr>
        <w:t>u</w:t>
      </w:r>
      <w:r w:rsidR="00C90B71" w:rsidRPr="00773FC9">
        <w:rPr>
          <w:rFonts w:ascii="Arial" w:hAnsi="Arial" w:cs="Arial"/>
          <w:szCs w:val="24"/>
        </w:rPr>
        <w:t xml:space="preserve"> programu aplikovaného výzkumu </w:t>
      </w:r>
      <w:r w:rsidRPr="00773FC9">
        <w:rPr>
          <w:rFonts w:ascii="Arial" w:hAnsi="Arial" w:cs="Arial"/>
          <w:szCs w:val="24"/>
        </w:rPr>
        <w:t>a experimentálního vývoje EPSILON</w:t>
      </w:r>
      <w:r w:rsidR="00B47673" w:rsidRPr="00773FC9">
        <w:rPr>
          <w:rFonts w:ascii="Arial" w:hAnsi="Arial" w:cs="Arial"/>
          <w:szCs w:val="24"/>
        </w:rPr>
        <w:t xml:space="preserve"> (dále jen „</w:t>
      </w:r>
      <w:r w:rsidR="00713365">
        <w:rPr>
          <w:rFonts w:ascii="Arial" w:hAnsi="Arial" w:cs="Arial"/>
          <w:szCs w:val="24"/>
        </w:rPr>
        <w:t xml:space="preserve">návrh na </w:t>
      </w:r>
      <w:r w:rsidR="00E03ECE">
        <w:rPr>
          <w:rFonts w:ascii="Arial" w:hAnsi="Arial" w:cs="Arial"/>
          <w:szCs w:val="24"/>
        </w:rPr>
        <w:t>změn</w:t>
      </w:r>
      <w:r w:rsidR="00713365">
        <w:rPr>
          <w:rFonts w:ascii="Arial" w:hAnsi="Arial" w:cs="Arial"/>
          <w:szCs w:val="24"/>
        </w:rPr>
        <w:t>u</w:t>
      </w:r>
      <w:r w:rsidR="00E03ECE">
        <w:rPr>
          <w:rFonts w:ascii="Arial" w:hAnsi="Arial" w:cs="Arial"/>
          <w:szCs w:val="24"/>
        </w:rPr>
        <w:t xml:space="preserve"> programu</w:t>
      </w:r>
      <w:r w:rsidR="00B47673" w:rsidRPr="00773FC9">
        <w:rPr>
          <w:rFonts w:ascii="Arial" w:hAnsi="Arial" w:cs="Arial"/>
          <w:szCs w:val="24"/>
        </w:rPr>
        <w:t>“)</w:t>
      </w:r>
      <w:r w:rsidR="00C90B71" w:rsidRPr="00773FC9">
        <w:rPr>
          <w:rFonts w:ascii="Arial" w:hAnsi="Arial" w:cs="Arial"/>
          <w:szCs w:val="24"/>
        </w:rPr>
        <w:t>.</w:t>
      </w:r>
      <w:r w:rsidR="00AB16C1" w:rsidRPr="00773FC9">
        <w:rPr>
          <w:rFonts w:ascii="Arial" w:hAnsi="Arial" w:cs="Arial"/>
          <w:szCs w:val="24"/>
        </w:rPr>
        <w:t xml:space="preserve"> </w:t>
      </w:r>
    </w:p>
    <w:p w:rsidR="008D38F1" w:rsidRPr="00773FC9" w:rsidRDefault="008D38F1" w:rsidP="0057279E">
      <w:pPr>
        <w:pStyle w:val="Zkladntext2"/>
        <w:spacing w:after="120"/>
        <w:jc w:val="both"/>
        <w:rPr>
          <w:rFonts w:ascii="Arial" w:hAnsi="Arial" w:cs="Arial"/>
          <w:color w:val="000000"/>
          <w:szCs w:val="24"/>
        </w:rPr>
      </w:pPr>
      <w:r w:rsidRPr="00773FC9">
        <w:rPr>
          <w:rFonts w:ascii="Arial" w:hAnsi="Arial" w:cs="Arial"/>
          <w:szCs w:val="24"/>
        </w:rPr>
        <w:t xml:space="preserve">Návrh byl předložen </w:t>
      </w:r>
      <w:r w:rsidR="00773FC9" w:rsidRPr="00773FC9">
        <w:rPr>
          <w:rFonts w:ascii="Arial" w:hAnsi="Arial" w:cs="Arial"/>
          <w:szCs w:val="24"/>
        </w:rPr>
        <w:t xml:space="preserve">v souladu s </w:t>
      </w:r>
      <w:r w:rsidRPr="00773FC9">
        <w:rPr>
          <w:rFonts w:ascii="Arial" w:hAnsi="Arial" w:cs="Arial"/>
          <w:szCs w:val="24"/>
        </w:rPr>
        <w:t xml:space="preserve">§ 5 odst. 3 písm. </w:t>
      </w:r>
      <w:r w:rsidR="0045439B">
        <w:rPr>
          <w:rFonts w:ascii="Arial" w:hAnsi="Arial" w:cs="Arial"/>
          <w:szCs w:val="24"/>
        </w:rPr>
        <w:t xml:space="preserve">b) a </w:t>
      </w:r>
      <w:r w:rsidRPr="00773FC9">
        <w:rPr>
          <w:rFonts w:ascii="Arial" w:hAnsi="Arial" w:cs="Arial"/>
          <w:szCs w:val="24"/>
        </w:rPr>
        <w:t>c) zákona č. 130/2002 Sb., o podpoře výzkumu, experimentálního vývoje a inovací</w:t>
      </w:r>
      <w:r w:rsidRPr="00773FC9">
        <w:rPr>
          <w:rFonts w:ascii="Arial" w:hAnsi="Arial" w:cs="Arial"/>
          <w:color w:val="000000"/>
          <w:szCs w:val="24"/>
        </w:rPr>
        <w:t xml:space="preserve"> z veřejných prostředků a o změně některých souvisejících zákonů, ve znění pozdějších předpisů (dále jen „zákon </w:t>
      </w:r>
      <w:r w:rsidRPr="00773FC9">
        <w:rPr>
          <w:rFonts w:ascii="Arial" w:hAnsi="Arial" w:cs="Arial"/>
          <w:szCs w:val="24"/>
        </w:rPr>
        <w:t>o podpoře výzkumu, experimentálního vývoje a inovací</w:t>
      </w:r>
      <w:r w:rsidRPr="00773FC9">
        <w:rPr>
          <w:rFonts w:ascii="Arial" w:hAnsi="Arial" w:cs="Arial"/>
          <w:color w:val="000000"/>
          <w:szCs w:val="24"/>
        </w:rPr>
        <w:t>“).</w:t>
      </w:r>
    </w:p>
    <w:p w:rsidR="00AB16C1" w:rsidRPr="00773FC9" w:rsidRDefault="008D38F1" w:rsidP="0057279E">
      <w:pPr>
        <w:pStyle w:val="Odstavecseseznamem"/>
        <w:numPr>
          <w:ilvl w:val="0"/>
          <w:numId w:val="2"/>
        </w:numPr>
        <w:spacing w:after="120"/>
        <w:ind w:left="0" w:firstLine="0"/>
        <w:jc w:val="both"/>
        <w:rPr>
          <w:rFonts w:ascii="Arial" w:hAnsi="Arial" w:cs="Arial"/>
          <w:b/>
          <w:color w:val="0070C0"/>
          <w:sz w:val="24"/>
          <w:szCs w:val="24"/>
        </w:rPr>
      </w:pPr>
      <w:r w:rsidRPr="00773FC9">
        <w:rPr>
          <w:rFonts w:ascii="Arial" w:hAnsi="Arial" w:cs="Arial"/>
          <w:b/>
          <w:color w:val="0070C0"/>
          <w:sz w:val="24"/>
          <w:szCs w:val="24"/>
        </w:rPr>
        <w:t>Způsob projednání</w:t>
      </w:r>
      <w:r w:rsidR="00AB16C1" w:rsidRPr="00773FC9">
        <w:rPr>
          <w:rFonts w:ascii="Arial" w:hAnsi="Arial" w:cs="Arial"/>
          <w:b/>
          <w:color w:val="0070C0"/>
          <w:sz w:val="24"/>
          <w:szCs w:val="24"/>
        </w:rPr>
        <w:t xml:space="preserve"> návrhu </w:t>
      </w:r>
    </w:p>
    <w:p w:rsidR="008D38F1" w:rsidRPr="00773FC9" w:rsidRDefault="008D38F1" w:rsidP="0057279E">
      <w:pPr>
        <w:spacing w:after="120"/>
        <w:jc w:val="both"/>
        <w:rPr>
          <w:rFonts w:ascii="Arial" w:hAnsi="Arial" w:cs="Arial"/>
        </w:rPr>
      </w:pPr>
      <w:r w:rsidRPr="00773FC9">
        <w:rPr>
          <w:rFonts w:ascii="Arial" w:hAnsi="Arial" w:cs="Arial"/>
        </w:rPr>
        <w:t xml:space="preserve">Návrh </w:t>
      </w:r>
      <w:r w:rsidR="00AA0E9E">
        <w:rPr>
          <w:rFonts w:ascii="Arial" w:hAnsi="Arial" w:cs="Arial"/>
        </w:rPr>
        <w:t xml:space="preserve">na změnu </w:t>
      </w:r>
      <w:r w:rsidRPr="00773FC9">
        <w:rPr>
          <w:rFonts w:ascii="Arial" w:hAnsi="Arial" w:cs="Arial"/>
        </w:rPr>
        <w:t xml:space="preserve">programu byl projednán </w:t>
      </w:r>
      <w:r w:rsidR="00F33902" w:rsidRPr="00773FC9">
        <w:rPr>
          <w:rFonts w:ascii="Arial" w:hAnsi="Arial" w:cs="Arial"/>
        </w:rPr>
        <w:t xml:space="preserve">a stanovisko Rady bylo schváleno </w:t>
      </w:r>
      <w:r w:rsidRPr="00773FC9">
        <w:rPr>
          <w:rFonts w:ascii="Arial" w:hAnsi="Arial" w:cs="Arial"/>
        </w:rPr>
        <w:t xml:space="preserve">na </w:t>
      </w:r>
      <w:r w:rsidR="00943383">
        <w:rPr>
          <w:rFonts w:ascii="Arial" w:hAnsi="Arial" w:cs="Arial"/>
        </w:rPr>
        <w:br/>
      </w:r>
      <w:r w:rsidRPr="00773FC9">
        <w:rPr>
          <w:rFonts w:ascii="Arial" w:hAnsi="Arial" w:cs="Arial"/>
        </w:rPr>
        <w:t>3</w:t>
      </w:r>
      <w:r w:rsidR="00773FC9" w:rsidRPr="00773FC9">
        <w:rPr>
          <w:rFonts w:ascii="Arial" w:hAnsi="Arial" w:cs="Arial"/>
        </w:rPr>
        <w:t>5</w:t>
      </w:r>
      <w:r w:rsidR="00943383">
        <w:rPr>
          <w:rFonts w:ascii="Arial" w:hAnsi="Arial" w:cs="Arial"/>
        </w:rPr>
        <w:t>3</w:t>
      </w:r>
      <w:r w:rsidRPr="00773FC9">
        <w:rPr>
          <w:rFonts w:ascii="Arial" w:hAnsi="Arial" w:cs="Arial"/>
        </w:rPr>
        <w:t xml:space="preserve">. zasedání Rady, které se konalo </w:t>
      </w:r>
      <w:r w:rsidR="00943383">
        <w:rPr>
          <w:rFonts w:ascii="Arial" w:hAnsi="Arial" w:cs="Arial"/>
        </w:rPr>
        <w:t>24</w:t>
      </w:r>
      <w:r w:rsidR="00773FC9" w:rsidRPr="00943383">
        <w:rPr>
          <w:rFonts w:ascii="Arial" w:hAnsi="Arial" w:cs="Arial"/>
        </w:rPr>
        <w:t xml:space="preserve">. </w:t>
      </w:r>
      <w:r w:rsidR="00943383">
        <w:rPr>
          <w:rFonts w:ascii="Arial" w:hAnsi="Arial" w:cs="Arial"/>
        </w:rPr>
        <w:t>ledna</w:t>
      </w:r>
      <w:r w:rsidRPr="00943383">
        <w:rPr>
          <w:rFonts w:ascii="Arial" w:hAnsi="Arial" w:cs="Arial"/>
        </w:rPr>
        <w:t xml:space="preserve"> 20</w:t>
      </w:r>
      <w:r w:rsidR="00943383">
        <w:rPr>
          <w:rFonts w:ascii="Arial" w:hAnsi="Arial" w:cs="Arial"/>
        </w:rPr>
        <w:t>20</w:t>
      </w:r>
      <w:r w:rsidRPr="00773FC9">
        <w:rPr>
          <w:rFonts w:ascii="Arial" w:hAnsi="Arial" w:cs="Arial"/>
        </w:rPr>
        <w:t>.</w:t>
      </w:r>
    </w:p>
    <w:p w:rsidR="008D38F1" w:rsidRPr="008767C0" w:rsidRDefault="00FD1740" w:rsidP="0045439B">
      <w:pPr>
        <w:pStyle w:val="Zkladntext2"/>
        <w:numPr>
          <w:ilvl w:val="0"/>
          <w:numId w:val="2"/>
        </w:numPr>
        <w:spacing w:before="120" w:after="120" w:line="276" w:lineRule="auto"/>
        <w:ind w:hanging="862"/>
        <w:jc w:val="both"/>
        <w:rPr>
          <w:rFonts w:ascii="Arial" w:hAnsi="Arial" w:cs="Arial"/>
          <w:b/>
          <w:color w:val="0070C0"/>
          <w:szCs w:val="24"/>
        </w:rPr>
      </w:pPr>
      <w:r w:rsidRPr="008767C0">
        <w:rPr>
          <w:rFonts w:ascii="Arial" w:hAnsi="Arial" w:cs="Arial"/>
          <w:b/>
          <w:color w:val="0070C0"/>
          <w:szCs w:val="24"/>
        </w:rPr>
        <w:t>Obecně k</w:t>
      </w:r>
      <w:r w:rsidR="00981E81" w:rsidRPr="008767C0">
        <w:rPr>
          <w:rFonts w:ascii="Arial" w:hAnsi="Arial" w:cs="Arial"/>
          <w:b/>
          <w:color w:val="0070C0"/>
          <w:szCs w:val="24"/>
        </w:rPr>
        <w:t xml:space="preserve"> programu </w:t>
      </w:r>
      <w:r w:rsidR="00D50CB5" w:rsidRPr="008767C0">
        <w:rPr>
          <w:rFonts w:ascii="Arial" w:hAnsi="Arial" w:cs="Arial"/>
          <w:b/>
          <w:color w:val="0070C0"/>
          <w:szCs w:val="24"/>
        </w:rPr>
        <w:t xml:space="preserve"> </w:t>
      </w:r>
    </w:p>
    <w:p w:rsidR="008767C0" w:rsidRPr="00CA0862" w:rsidRDefault="00126E48" w:rsidP="00CA0862">
      <w:pPr>
        <w:pStyle w:val="Default"/>
        <w:spacing w:after="120"/>
        <w:jc w:val="both"/>
        <w:rPr>
          <w:rFonts w:ascii="Arial" w:eastAsiaTheme="minorHAnsi" w:hAnsi="Arial" w:cs="Arial"/>
          <w:lang w:eastAsia="en-US"/>
        </w:rPr>
      </w:pPr>
      <w:r w:rsidRPr="008767C0">
        <w:rPr>
          <w:rFonts w:ascii="Arial" w:hAnsi="Arial" w:cs="Arial"/>
        </w:rPr>
        <w:t xml:space="preserve">Program </w:t>
      </w:r>
      <w:r w:rsidR="00E03ECE">
        <w:rPr>
          <w:rFonts w:ascii="Arial" w:hAnsi="Arial" w:cs="Arial"/>
        </w:rPr>
        <w:t>aplikovaného výzkumu a experimentálního vývoje EPSILON b</w:t>
      </w:r>
      <w:r w:rsidRPr="008767C0">
        <w:rPr>
          <w:rFonts w:ascii="Arial" w:hAnsi="Arial" w:cs="Arial"/>
        </w:rPr>
        <w:t xml:space="preserve">yl schválen usnesením vlády </w:t>
      </w:r>
      <w:r w:rsidR="008767C0">
        <w:rPr>
          <w:rFonts w:ascii="Arial" w:eastAsiaTheme="minorHAnsi" w:hAnsi="Arial" w:cs="Arial"/>
          <w:lang w:eastAsia="en-US"/>
        </w:rPr>
        <w:t>ze dne</w:t>
      </w:r>
      <w:r w:rsidR="00773FC9" w:rsidRPr="008767C0">
        <w:rPr>
          <w:rFonts w:ascii="Arial" w:eastAsiaTheme="minorHAnsi" w:hAnsi="Arial" w:cs="Arial"/>
          <w:lang w:eastAsia="en-US"/>
        </w:rPr>
        <w:t xml:space="preserve"> </w:t>
      </w:r>
      <w:r w:rsidR="008767C0">
        <w:rPr>
          <w:rFonts w:ascii="Arial" w:eastAsiaTheme="minorHAnsi" w:hAnsi="Arial" w:cs="Arial"/>
          <w:lang w:eastAsia="en-US"/>
        </w:rPr>
        <w:t xml:space="preserve">18.  </w:t>
      </w:r>
      <w:r w:rsidR="00773FC9" w:rsidRPr="008767C0">
        <w:rPr>
          <w:rFonts w:ascii="Arial" w:eastAsiaTheme="minorHAnsi" w:hAnsi="Arial" w:cs="Arial"/>
          <w:lang w:eastAsia="en-US"/>
        </w:rPr>
        <w:t>prosince</w:t>
      </w:r>
      <w:r w:rsidR="00DE3AA1" w:rsidRPr="008767C0">
        <w:rPr>
          <w:rFonts w:ascii="Arial" w:eastAsiaTheme="minorHAnsi" w:hAnsi="Arial" w:cs="Arial"/>
          <w:lang w:eastAsia="en-US"/>
        </w:rPr>
        <w:t xml:space="preserve"> 201</w:t>
      </w:r>
      <w:r w:rsidR="008767C0" w:rsidRPr="008767C0">
        <w:rPr>
          <w:rFonts w:ascii="Arial" w:eastAsiaTheme="minorHAnsi" w:hAnsi="Arial" w:cs="Arial"/>
          <w:lang w:eastAsia="en-US"/>
        </w:rPr>
        <w:t>3</w:t>
      </w:r>
      <w:r w:rsidR="00DE3AA1" w:rsidRPr="008767C0">
        <w:rPr>
          <w:rFonts w:ascii="Arial" w:eastAsiaTheme="minorHAnsi" w:hAnsi="Arial" w:cs="Arial"/>
          <w:lang w:eastAsia="en-US"/>
        </w:rPr>
        <w:t xml:space="preserve"> č. </w:t>
      </w:r>
      <w:r w:rsidR="008767C0" w:rsidRPr="008767C0">
        <w:rPr>
          <w:rFonts w:ascii="Arial" w:eastAsiaTheme="minorHAnsi" w:hAnsi="Arial" w:cs="Arial"/>
          <w:lang w:eastAsia="en-US"/>
        </w:rPr>
        <w:t>987</w:t>
      </w:r>
      <w:r w:rsidR="00CA0862">
        <w:rPr>
          <w:rFonts w:ascii="Arial" w:eastAsiaTheme="minorHAnsi" w:hAnsi="Arial" w:cs="Arial"/>
          <w:lang w:eastAsia="en-US"/>
        </w:rPr>
        <w:t xml:space="preserve"> a j</w:t>
      </w:r>
      <w:r w:rsidR="00E03ECE">
        <w:rPr>
          <w:rFonts w:ascii="Arial" w:eastAsia="Arial" w:hAnsi="Arial" w:cs="Arial"/>
        </w:rPr>
        <w:t>e zaměřen zejména na </w:t>
      </w:r>
      <w:r w:rsidR="008767C0" w:rsidRPr="008767C0">
        <w:rPr>
          <w:rFonts w:ascii="Arial" w:eastAsia="Arial" w:hAnsi="Arial" w:cs="Arial"/>
        </w:rPr>
        <w:t>zlepšení pozice českého, a v globálním kontextu i</w:t>
      </w:r>
      <w:r w:rsidR="008767C0">
        <w:rPr>
          <w:rFonts w:ascii="Arial" w:eastAsia="Arial" w:hAnsi="Arial" w:cs="Arial"/>
        </w:rPr>
        <w:t> </w:t>
      </w:r>
      <w:r w:rsidR="008767C0" w:rsidRPr="008767C0">
        <w:rPr>
          <w:rFonts w:ascii="Arial" w:eastAsia="Arial" w:hAnsi="Arial" w:cs="Arial"/>
        </w:rPr>
        <w:t xml:space="preserve">evropského, průmyslu pomocí podpory projektů, které spadají dle čl. 25 odst. 2 </w:t>
      </w:r>
      <w:r w:rsidR="008767C0" w:rsidRPr="00D44222">
        <w:rPr>
          <w:rFonts w:ascii="Arial" w:eastAsia="Arial" w:hAnsi="Arial" w:cs="Arial"/>
        </w:rPr>
        <w:t>písm. b) a c) Nařízení</w:t>
      </w:r>
      <w:r w:rsidR="00D44222" w:rsidRPr="00D44222">
        <w:rPr>
          <w:rStyle w:val="Znakapoznpodarou"/>
          <w:rFonts w:ascii="Arial" w:eastAsia="Arial" w:hAnsi="Arial" w:cs="Arial"/>
        </w:rPr>
        <w:footnoteReference w:id="1"/>
      </w:r>
      <w:r w:rsidR="008767C0" w:rsidRPr="00D44222">
        <w:rPr>
          <w:rFonts w:ascii="Arial" w:eastAsia="Arial" w:hAnsi="Arial" w:cs="Arial"/>
        </w:rPr>
        <w:t xml:space="preserve"> a</w:t>
      </w:r>
      <w:r w:rsidR="008767C0" w:rsidRPr="008767C0">
        <w:rPr>
          <w:rFonts w:ascii="Arial" w:eastAsia="Arial" w:hAnsi="Arial" w:cs="Arial"/>
        </w:rPr>
        <w:t xml:space="preserve"> čl. 1. 3. </w:t>
      </w:r>
      <w:r w:rsidR="008767C0" w:rsidRPr="00D44222">
        <w:rPr>
          <w:rFonts w:ascii="Arial" w:eastAsia="Arial" w:hAnsi="Arial" w:cs="Arial"/>
        </w:rPr>
        <w:t>písm. e) Rámce</w:t>
      </w:r>
      <w:r w:rsidR="00D44222" w:rsidRPr="00D44222">
        <w:rPr>
          <w:rStyle w:val="Znakapoznpodarou"/>
          <w:rFonts w:ascii="Arial" w:eastAsia="Arial" w:hAnsi="Arial" w:cs="Arial"/>
        </w:rPr>
        <w:footnoteReference w:id="2"/>
      </w:r>
      <w:r w:rsidR="008767C0" w:rsidRPr="00D44222">
        <w:rPr>
          <w:rFonts w:ascii="Arial" w:eastAsia="Arial" w:hAnsi="Arial" w:cs="Arial"/>
        </w:rPr>
        <w:t xml:space="preserve"> do kategorie aplikovaného</w:t>
      </w:r>
      <w:r w:rsidR="008767C0" w:rsidRPr="008767C0">
        <w:rPr>
          <w:rFonts w:ascii="Arial" w:eastAsia="Arial" w:hAnsi="Arial" w:cs="Arial"/>
        </w:rPr>
        <w:t xml:space="preserve"> výzkumu (zahrnuje průmyslový výzkum, experimentální vývoj nebo jejich kombinaci) a jejichž výsledky mají vysoký potenciál pro rychlé uplatnění v nových produktech, výrobních postupech a službách. </w:t>
      </w:r>
    </w:p>
    <w:p w:rsidR="008767C0" w:rsidRPr="008767C0" w:rsidRDefault="008767C0" w:rsidP="008767C0">
      <w:pPr>
        <w:spacing w:before="120" w:after="120" w:line="276" w:lineRule="auto"/>
        <w:jc w:val="both"/>
        <w:rPr>
          <w:rFonts w:ascii="Arial" w:eastAsia="Arial" w:hAnsi="Arial" w:cs="Arial"/>
        </w:rPr>
      </w:pPr>
      <w:r w:rsidRPr="008767C0">
        <w:rPr>
          <w:rFonts w:ascii="Arial" w:eastAsia="Arial" w:hAnsi="Arial" w:cs="Arial"/>
        </w:rPr>
        <w:t>Řešené projekty jsou zaměřeny zejména na prioritní oblasti:</w:t>
      </w:r>
    </w:p>
    <w:p w:rsidR="008767C0" w:rsidRPr="008767C0" w:rsidRDefault="008767C0" w:rsidP="008767C0">
      <w:pPr>
        <w:numPr>
          <w:ilvl w:val="0"/>
          <w:numId w:val="22"/>
        </w:numPr>
        <w:spacing w:before="120" w:line="276" w:lineRule="auto"/>
        <w:jc w:val="both"/>
        <w:rPr>
          <w:rFonts w:ascii="Arial" w:eastAsia="Arial" w:hAnsi="Arial" w:cs="Arial"/>
        </w:rPr>
      </w:pPr>
      <w:r w:rsidRPr="008767C0">
        <w:rPr>
          <w:rFonts w:ascii="Arial" w:eastAsia="Arial" w:hAnsi="Arial" w:cs="Arial"/>
        </w:rPr>
        <w:t>Konkurenceschopn</w:t>
      </w:r>
      <w:r w:rsidR="00F57481">
        <w:rPr>
          <w:rFonts w:ascii="Arial" w:eastAsia="Arial" w:hAnsi="Arial" w:cs="Arial"/>
        </w:rPr>
        <w:t>é</w:t>
      </w:r>
      <w:r w:rsidRPr="008767C0">
        <w:rPr>
          <w:rFonts w:ascii="Arial" w:eastAsia="Arial" w:hAnsi="Arial" w:cs="Arial"/>
        </w:rPr>
        <w:t xml:space="preserve"> ekonomik</w:t>
      </w:r>
      <w:r w:rsidR="00F57481">
        <w:rPr>
          <w:rFonts w:ascii="Arial" w:eastAsia="Arial" w:hAnsi="Arial" w:cs="Arial"/>
        </w:rPr>
        <w:t>y</w:t>
      </w:r>
      <w:r w:rsidRPr="008767C0">
        <w:rPr>
          <w:rFonts w:ascii="Arial" w:eastAsia="Arial" w:hAnsi="Arial" w:cs="Arial"/>
        </w:rPr>
        <w:t xml:space="preserve"> založen</w:t>
      </w:r>
      <w:r w:rsidR="00F57481">
        <w:rPr>
          <w:rFonts w:ascii="Arial" w:eastAsia="Arial" w:hAnsi="Arial" w:cs="Arial"/>
        </w:rPr>
        <w:t>é</w:t>
      </w:r>
      <w:r w:rsidRPr="008767C0">
        <w:rPr>
          <w:rFonts w:ascii="Arial" w:eastAsia="Arial" w:hAnsi="Arial" w:cs="Arial"/>
        </w:rPr>
        <w:t xml:space="preserve"> na znalostech</w:t>
      </w:r>
    </w:p>
    <w:p w:rsidR="008767C0" w:rsidRPr="008767C0" w:rsidRDefault="008767C0" w:rsidP="008767C0">
      <w:pPr>
        <w:numPr>
          <w:ilvl w:val="0"/>
          <w:numId w:val="22"/>
        </w:numPr>
        <w:spacing w:line="276" w:lineRule="auto"/>
        <w:jc w:val="both"/>
        <w:rPr>
          <w:rFonts w:ascii="Arial" w:eastAsia="Arial" w:hAnsi="Arial" w:cs="Arial"/>
        </w:rPr>
      </w:pPr>
      <w:r w:rsidRPr="008767C0">
        <w:rPr>
          <w:rFonts w:ascii="Arial" w:eastAsia="Arial" w:hAnsi="Arial" w:cs="Arial"/>
        </w:rPr>
        <w:t>Udržiteln</w:t>
      </w:r>
      <w:r w:rsidR="00F57481">
        <w:rPr>
          <w:rFonts w:ascii="Arial" w:eastAsia="Arial" w:hAnsi="Arial" w:cs="Arial"/>
        </w:rPr>
        <w:t>é</w:t>
      </w:r>
      <w:r w:rsidRPr="008767C0">
        <w:rPr>
          <w:rFonts w:ascii="Arial" w:eastAsia="Arial" w:hAnsi="Arial" w:cs="Arial"/>
        </w:rPr>
        <w:t xml:space="preserve"> energetiky a materiálových zdrojů</w:t>
      </w:r>
    </w:p>
    <w:p w:rsidR="008767C0" w:rsidRPr="008767C0" w:rsidRDefault="008767C0" w:rsidP="008767C0">
      <w:pPr>
        <w:numPr>
          <w:ilvl w:val="0"/>
          <w:numId w:val="22"/>
        </w:numPr>
        <w:spacing w:after="120" w:line="276" w:lineRule="auto"/>
        <w:jc w:val="both"/>
        <w:rPr>
          <w:rFonts w:ascii="Arial" w:eastAsia="Arial" w:hAnsi="Arial" w:cs="Arial"/>
        </w:rPr>
      </w:pPr>
      <w:r w:rsidRPr="008767C0">
        <w:rPr>
          <w:rFonts w:ascii="Arial" w:eastAsia="Arial" w:hAnsi="Arial" w:cs="Arial"/>
        </w:rPr>
        <w:t>Prostředí pro kvalitní život</w:t>
      </w:r>
    </w:p>
    <w:p w:rsidR="008767C0" w:rsidRPr="008767C0" w:rsidRDefault="008767C0" w:rsidP="008767C0">
      <w:pPr>
        <w:spacing w:before="120" w:after="120" w:line="276" w:lineRule="auto"/>
        <w:jc w:val="both"/>
        <w:rPr>
          <w:rFonts w:ascii="Arial" w:eastAsia="Arial" w:hAnsi="Arial" w:cs="Arial"/>
        </w:rPr>
      </w:pPr>
      <w:r w:rsidRPr="008767C0">
        <w:rPr>
          <w:rFonts w:ascii="Arial" w:eastAsia="Arial" w:hAnsi="Arial" w:cs="Arial"/>
        </w:rPr>
        <w:t xml:space="preserve">Program </w:t>
      </w:r>
      <w:r w:rsidR="00E03ECE">
        <w:rPr>
          <w:rFonts w:ascii="Arial" w:eastAsia="Arial" w:hAnsi="Arial" w:cs="Arial"/>
        </w:rPr>
        <w:t xml:space="preserve">EPSILON </w:t>
      </w:r>
      <w:r w:rsidRPr="008767C0">
        <w:rPr>
          <w:rFonts w:ascii="Arial" w:eastAsia="Arial" w:hAnsi="Arial" w:cs="Arial"/>
        </w:rPr>
        <w:t>je možné využít pro syne</w:t>
      </w:r>
      <w:r w:rsidR="00E03ECE">
        <w:rPr>
          <w:rFonts w:ascii="Arial" w:eastAsia="Arial" w:hAnsi="Arial" w:cs="Arial"/>
        </w:rPr>
        <w:t>rgické a komplementární efekty v </w:t>
      </w:r>
      <w:r w:rsidRPr="008767C0">
        <w:rPr>
          <w:rFonts w:ascii="Arial" w:eastAsia="Arial" w:hAnsi="Arial" w:cs="Arial"/>
        </w:rPr>
        <w:t xml:space="preserve">mezinárodních schématech typu Horizont 2020 </w:t>
      </w:r>
      <w:r w:rsidR="00E03ECE">
        <w:rPr>
          <w:rFonts w:ascii="Arial" w:eastAsia="Arial" w:hAnsi="Arial" w:cs="Arial"/>
        </w:rPr>
        <w:t>(H2020), dalších programech EU a </w:t>
      </w:r>
      <w:r w:rsidRPr="008767C0">
        <w:rPr>
          <w:rFonts w:ascii="Arial" w:eastAsia="Arial" w:hAnsi="Arial" w:cs="Arial"/>
        </w:rPr>
        <w:t>dalších mezinárodních programech, které jsou v souladu s</w:t>
      </w:r>
      <w:r w:rsidR="00E03ECE">
        <w:rPr>
          <w:rFonts w:ascii="Arial" w:eastAsia="Arial" w:hAnsi="Arial" w:cs="Arial"/>
        </w:rPr>
        <w:t xml:space="preserve"> jeho </w:t>
      </w:r>
      <w:r w:rsidRPr="008767C0">
        <w:rPr>
          <w:rFonts w:ascii="Arial" w:eastAsia="Arial" w:hAnsi="Arial" w:cs="Arial"/>
        </w:rPr>
        <w:t>zaměřením</w:t>
      </w:r>
      <w:r w:rsidR="00E03ECE">
        <w:rPr>
          <w:rFonts w:ascii="Arial" w:eastAsia="Arial" w:hAnsi="Arial" w:cs="Arial"/>
        </w:rPr>
        <w:t>.</w:t>
      </w:r>
    </w:p>
    <w:p w:rsidR="00C10E91" w:rsidRPr="0045439B" w:rsidRDefault="008767C0" w:rsidP="00646F8D">
      <w:pPr>
        <w:pStyle w:val="Zkladntext2"/>
        <w:numPr>
          <w:ilvl w:val="0"/>
          <w:numId w:val="2"/>
        </w:numPr>
        <w:spacing w:before="120" w:after="120" w:line="276" w:lineRule="auto"/>
        <w:ind w:hanging="862"/>
        <w:jc w:val="both"/>
        <w:rPr>
          <w:rFonts w:ascii="Arial" w:hAnsi="Arial" w:cs="Arial"/>
          <w:b/>
          <w:color w:val="0070C0"/>
          <w:szCs w:val="24"/>
        </w:rPr>
      </w:pPr>
      <w:r w:rsidRPr="00C10E91">
        <w:rPr>
          <w:rFonts w:ascii="Arial" w:hAnsi="Arial" w:cs="Arial"/>
          <w:b/>
          <w:color w:val="0070C0"/>
          <w:szCs w:val="24"/>
        </w:rPr>
        <w:t xml:space="preserve">Navržené změny programu </w:t>
      </w:r>
      <w:r w:rsidR="00E03ECE">
        <w:rPr>
          <w:rFonts w:ascii="Arial" w:hAnsi="Arial" w:cs="Arial"/>
          <w:b/>
          <w:color w:val="0070C0"/>
          <w:szCs w:val="24"/>
        </w:rPr>
        <w:t xml:space="preserve">EPSILON </w:t>
      </w:r>
      <w:r w:rsidRPr="00C10E91">
        <w:rPr>
          <w:rFonts w:ascii="Arial" w:hAnsi="Arial" w:cs="Arial"/>
          <w:b/>
          <w:color w:val="0070C0"/>
          <w:szCs w:val="24"/>
        </w:rPr>
        <w:t>a jejich odůvodnění</w:t>
      </w:r>
    </w:p>
    <w:p w:rsidR="00C10E91" w:rsidRPr="00C10E91" w:rsidRDefault="00C10E91" w:rsidP="00C10E91">
      <w:pPr>
        <w:pStyle w:val="Zkladntext2"/>
        <w:spacing w:before="120" w:after="120" w:line="276" w:lineRule="auto"/>
        <w:jc w:val="both"/>
        <w:rPr>
          <w:rFonts w:ascii="Arial" w:hAnsi="Arial" w:cs="Arial"/>
          <w:szCs w:val="24"/>
        </w:rPr>
      </w:pPr>
      <w:r w:rsidRPr="00C10E91">
        <w:rPr>
          <w:rFonts w:ascii="Arial" w:hAnsi="Arial" w:cs="Arial"/>
          <w:szCs w:val="24"/>
        </w:rPr>
        <w:t>V rámci programu TA</w:t>
      </w:r>
      <w:r w:rsidR="00AA0E9E">
        <w:rPr>
          <w:rFonts w:ascii="Arial" w:hAnsi="Arial" w:cs="Arial"/>
          <w:szCs w:val="24"/>
        </w:rPr>
        <w:t xml:space="preserve"> </w:t>
      </w:r>
      <w:r w:rsidRPr="00C10E91">
        <w:rPr>
          <w:rFonts w:ascii="Arial" w:hAnsi="Arial" w:cs="Arial"/>
          <w:szCs w:val="24"/>
        </w:rPr>
        <w:t>ČR navrhuje dvě změny:</w:t>
      </w:r>
    </w:p>
    <w:p w:rsidR="00C10E91" w:rsidRDefault="00E03ECE" w:rsidP="00C10E91">
      <w:pPr>
        <w:pStyle w:val="Zkladntext2"/>
        <w:numPr>
          <w:ilvl w:val="0"/>
          <w:numId w:val="25"/>
        </w:numPr>
        <w:spacing w:before="120" w:after="120" w:line="276" w:lineRule="auto"/>
        <w:jc w:val="both"/>
        <w:rPr>
          <w:rFonts w:ascii="Arial" w:eastAsia="Arial" w:hAnsi="Arial" w:cs="Arial"/>
        </w:rPr>
      </w:pPr>
      <w:r>
        <w:rPr>
          <w:rFonts w:ascii="Arial" w:eastAsia="Arial" w:hAnsi="Arial" w:cs="Arial"/>
        </w:rPr>
        <w:t>p</w:t>
      </w:r>
      <w:r w:rsidR="00C10E91">
        <w:rPr>
          <w:rFonts w:ascii="Arial" w:eastAsia="Arial" w:hAnsi="Arial" w:cs="Arial"/>
        </w:rPr>
        <w:t>rodloužení programu o jeden rok</w:t>
      </w:r>
      <w:r>
        <w:rPr>
          <w:rFonts w:ascii="Arial" w:eastAsia="Arial" w:hAnsi="Arial" w:cs="Arial"/>
        </w:rPr>
        <w:t>,</w:t>
      </w:r>
    </w:p>
    <w:p w:rsidR="00C10E91" w:rsidRDefault="00E03ECE" w:rsidP="00C10E91">
      <w:pPr>
        <w:pStyle w:val="Zkladntext2"/>
        <w:numPr>
          <w:ilvl w:val="0"/>
          <w:numId w:val="25"/>
        </w:numPr>
        <w:spacing w:before="120" w:after="120" w:line="276" w:lineRule="auto"/>
        <w:jc w:val="both"/>
        <w:rPr>
          <w:rFonts w:ascii="Arial" w:eastAsia="Arial" w:hAnsi="Arial" w:cs="Arial"/>
        </w:rPr>
      </w:pPr>
      <w:r>
        <w:rPr>
          <w:rFonts w:ascii="Arial" w:eastAsia="Arial" w:hAnsi="Arial" w:cs="Arial"/>
        </w:rPr>
        <w:lastRenderedPageBreak/>
        <w:t>na</w:t>
      </w:r>
      <w:r w:rsidR="00C10E91">
        <w:rPr>
          <w:rFonts w:ascii="Arial" w:eastAsia="Arial" w:hAnsi="Arial" w:cs="Arial"/>
        </w:rPr>
        <w:t>výšení celkové intenzity podpory z původních 60 % na 65 %.</w:t>
      </w:r>
    </w:p>
    <w:p w:rsidR="00F57481" w:rsidRDefault="00C10E91" w:rsidP="00003367">
      <w:pPr>
        <w:pBdr>
          <w:top w:val="nil"/>
          <w:left w:val="nil"/>
          <w:bottom w:val="nil"/>
          <w:right w:val="nil"/>
          <w:between w:val="nil"/>
        </w:pBdr>
        <w:spacing w:after="120"/>
        <w:jc w:val="both"/>
        <w:rPr>
          <w:rFonts w:ascii="Arial" w:hAnsi="Arial" w:cs="Arial"/>
          <w:color w:val="000000"/>
        </w:rPr>
      </w:pPr>
      <w:r w:rsidRPr="00F57481">
        <w:rPr>
          <w:rFonts w:ascii="Arial" w:eastAsia="Arial" w:hAnsi="Arial" w:cs="Arial"/>
        </w:rPr>
        <w:t>Ad a)</w:t>
      </w:r>
      <w:r w:rsidRPr="00F57481">
        <w:rPr>
          <w:rFonts w:ascii="Arial" w:eastAsia="Arial" w:hAnsi="Arial" w:cs="Arial"/>
          <w:b/>
        </w:rPr>
        <w:t xml:space="preserve"> </w:t>
      </w:r>
      <w:r w:rsidRPr="00F57481">
        <w:rPr>
          <w:rFonts w:ascii="Arial" w:eastAsia="Arial" w:hAnsi="Arial" w:cs="Arial"/>
        </w:rPr>
        <w:t xml:space="preserve">Prodloužení programu s financováním do roku 2026 </w:t>
      </w:r>
      <w:r w:rsidR="00E03ECE">
        <w:rPr>
          <w:rFonts w:ascii="Arial" w:eastAsia="Arial" w:hAnsi="Arial" w:cs="Arial"/>
        </w:rPr>
        <w:t xml:space="preserve">se navrhuje </w:t>
      </w:r>
      <w:r w:rsidRPr="00F57481">
        <w:rPr>
          <w:rFonts w:ascii="Arial" w:eastAsia="Arial" w:hAnsi="Arial" w:cs="Arial"/>
        </w:rPr>
        <w:t>z důvodu realizace plánovaných mezinárodních výzev a následné možnosti podpory českých uchazečů v úspěšných projektech. Posledn</w:t>
      </w:r>
      <w:r w:rsidR="00E03ECE">
        <w:rPr>
          <w:rFonts w:ascii="Arial" w:eastAsia="Arial" w:hAnsi="Arial" w:cs="Arial"/>
        </w:rPr>
        <w:t>í plánovaná mezinárodní výzva k </w:t>
      </w:r>
      <w:r w:rsidRPr="00F57481">
        <w:rPr>
          <w:rFonts w:ascii="Arial" w:eastAsia="Arial" w:hAnsi="Arial" w:cs="Arial"/>
        </w:rPr>
        <w:t>předkládání návrhů projektů</w:t>
      </w:r>
      <w:r w:rsidRPr="00827D14">
        <w:rPr>
          <w:rFonts w:ascii="Arial" w:eastAsia="Arial" w:hAnsi="Arial" w:cs="Arial"/>
        </w:rPr>
        <w:t xml:space="preserve"> bude v roce 20</w:t>
      </w:r>
      <w:r w:rsidR="00003367">
        <w:rPr>
          <w:rFonts w:ascii="Arial" w:eastAsia="Arial" w:hAnsi="Arial" w:cs="Arial"/>
        </w:rPr>
        <w:t>21 s financováním od roku 2022 a </w:t>
      </w:r>
      <w:r w:rsidRPr="00827D14">
        <w:rPr>
          <w:rFonts w:ascii="Arial" w:eastAsia="Arial" w:hAnsi="Arial" w:cs="Arial"/>
        </w:rPr>
        <w:t>dobou trvání projektů do roku 2026.</w:t>
      </w:r>
    </w:p>
    <w:p w:rsidR="00C10E91" w:rsidRPr="00511833" w:rsidRDefault="00827D14" w:rsidP="00003367">
      <w:pPr>
        <w:pBdr>
          <w:top w:val="nil"/>
          <w:left w:val="nil"/>
          <w:bottom w:val="nil"/>
          <w:right w:val="nil"/>
          <w:between w:val="nil"/>
        </w:pBdr>
        <w:spacing w:after="120"/>
        <w:jc w:val="both"/>
        <w:rPr>
          <w:rFonts w:ascii="Arial" w:eastAsia="Arial" w:hAnsi="Arial" w:cs="Arial"/>
        </w:rPr>
      </w:pPr>
      <w:r w:rsidRPr="00827D14">
        <w:rPr>
          <w:rFonts w:ascii="Arial" w:hAnsi="Arial" w:cs="Arial"/>
          <w:color w:val="000000"/>
        </w:rPr>
        <w:t>V letech 2019 až 2026 budou z programu podporovány pouze schémata ERA</w:t>
      </w:r>
      <w:r w:rsidRPr="00827D14">
        <w:rPr>
          <w:rFonts w:ascii="Arial" w:hAnsi="Arial" w:cs="Arial"/>
        </w:rPr>
        <w:t>-</w:t>
      </w:r>
      <w:r w:rsidRPr="00827D14">
        <w:rPr>
          <w:rFonts w:ascii="Arial" w:hAnsi="Arial" w:cs="Arial"/>
          <w:color w:val="000000"/>
        </w:rPr>
        <w:t>NET COFUND.</w:t>
      </w:r>
    </w:p>
    <w:p w:rsidR="00C10E91" w:rsidRDefault="00F57481" w:rsidP="00F57481">
      <w:pPr>
        <w:pBdr>
          <w:top w:val="nil"/>
          <w:left w:val="nil"/>
          <w:bottom w:val="nil"/>
          <w:right w:val="nil"/>
          <w:between w:val="nil"/>
        </w:pBdr>
        <w:spacing w:after="120" w:line="276" w:lineRule="auto"/>
        <w:jc w:val="both"/>
        <w:rPr>
          <w:rFonts w:ascii="Arial" w:eastAsia="Arial" w:hAnsi="Arial" w:cs="Arial"/>
        </w:rPr>
      </w:pPr>
      <w:r>
        <w:rPr>
          <w:rFonts w:ascii="Arial" w:eastAsia="Arial" w:hAnsi="Arial" w:cs="Arial"/>
          <w:b/>
        </w:rPr>
        <w:t xml:space="preserve">Navrhovaná </w:t>
      </w:r>
      <w:r w:rsidR="00C10E91" w:rsidRPr="00511833">
        <w:rPr>
          <w:rFonts w:ascii="Arial" w:eastAsia="Arial" w:hAnsi="Arial" w:cs="Arial"/>
          <w:b/>
        </w:rPr>
        <w:t>doba trvání programu je</w:t>
      </w:r>
      <w:r>
        <w:rPr>
          <w:rFonts w:ascii="Arial" w:eastAsia="Arial" w:hAnsi="Arial" w:cs="Arial"/>
          <w:b/>
        </w:rPr>
        <w:t xml:space="preserve"> v letech</w:t>
      </w:r>
      <w:r w:rsidR="00C10E91" w:rsidRPr="00511833">
        <w:rPr>
          <w:rFonts w:ascii="Arial" w:eastAsia="Arial" w:hAnsi="Arial" w:cs="Arial"/>
          <w:b/>
        </w:rPr>
        <w:t xml:space="preserve"> 2015 – 2026 (tj. 12 let)</w:t>
      </w:r>
      <w:r w:rsidR="00C10E91" w:rsidRPr="00511833">
        <w:rPr>
          <w:rFonts w:ascii="Arial" w:eastAsia="Arial" w:hAnsi="Arial" w:cs="Arial"/>
        </w:rPr>
        <w:t>.</w:t>
      </w:r>
    </w:p>
    <w:p w:rsidR="00C10E91" w:rsidRPr="00511833" w:rsidRDefault="00C10E91" w:rsidP="001A1D97">
      <w:pPr>
        <w:spacing w:after="120" w:line="276" w:lineRule="auto"/>
        <w:jc w:val="both"/>
        <w:rPr>
          <w:rFonts w:ascii="Arial" w:eastAsia="Arial" w:hAnsi="Arial" w:cs="Arial"/>
        </w:rPr>
      </w:pPr>
      <w:r w:rsidRPr="00AA0E9E">
        <w:rPr>
          <w:rFonts w:ascii="Arial" w:eastAsia="Arial" w:hAnsi="Arial" w:cs="Arial"/>
        </w:rPr>
        <w:t>Ad b)</w:t>
      </w:r>
      <w:r w:rsidRPr="00511833">
        <w:rPr>
          <w:rFonts w:ascii="Arial" w:eastAsia="Arial" w:hAnsi="Arial" w:cs="Arial"/>
          <w:b/>
        </w:rPr>
        <w:t xml:space="preserve"> </w:t>
      </w:r>
      <w:r w:rsidRPr="00827D14">
        <w:rPr>
          <w:rFonts w:ascii="Arial" w:eastAsia="Arial" w:hAnsi="Arial" w:cs="Arial"/>
        </w:rPr>
        <w:t xml:space="preserve">Navýšení celkové intenzity podpory na program z původních 60 % </w:t>
      </w:r>
      <w:r w:rsidR="00827D14" w:rsidRPr="00827D14">
        <w:rPr>
          <w:rFonts w:ascii="Arial" w:eastAsia="Arial" w:hAnsi="Arial" w:cs="Arial"/>
        </w:rPr>
        <w:t>na  65 </w:t>
      </w:r>
      <w:r w:rsidRPr="00827D14">
        <w:rPr>
          <w:rFonts w:ascii="Arial" w:eastAsia="Arial" w:hAnsi="Arial" w:cs="Arial"/>
        </w:rPr>
        <w:t>%</w:t>
      </w:r>
      <w:r w:rsidRPr="00511833">
        <w:rPr>
          <w:rFonts w:ascii="Arial" w:eastAsia="Arial" w:hAnsi="Arial" w:cs="Arial"/>
        </w:rPr>
        <w:t xml:space="preserve"> za</w:t>
      </w:r>
      <w:r w:rsidR="001A1D97">
        <w:rPr>
          <w:rFonts w:ascii="Arial" w:eastAsia="Arial" w:hAnsi="Arial" w:cs="Arial"/>
        </w:rPr>
        <w:t> </w:t>
      </w:r>
      <w:r w:rsidRPr="00511833">
        <w:rPr>
          <w:rFonts w:ascii="Arial" w:eastAsia="Arial" w:hAnsi="Arial" w:cs="Arial"/>
        </w:rPr>
        <w:t xml:space="preserve">účelem posílení motivace českých výzkumníků k účasti v ERA-NET </w:t>
      </w:r>
      <w:proofErr w:type="spellStart"/>
      <w:r w:rsidRPr="00511833">
        <w:rPr>
          <w:rFonts w:ascii="Arial" w:eastAsia="Arial" w:hAnsi="Arial" w:cs="Arial"/>
        </w:rPr>
        <w:t>cofundových</w:t>
      </w:r>
      <w:proofErr w:type="spellEnd"/>
      <w:r w:rsidRPr="00511833">
        <w:rPr>
          <w:rFonts w:ascii="Arial" w:eastAsia="Arial" w:hAnsi="Arial" w:cs="Arial"/>
        </w:rPr>
        <w:t xml:space="preserve"> výzvách. Celkové zapojení ČR do ERA-NET </w:t>
      </w:r>
      <w:proofErr w:type="spellStart"/>
      <w:r w:rsidRPr="00511833">
        <w:rPr>
          <w:rFonts w:ascii="Arial" w:eastAsia="Arial" w:hAnsi="Arial" w:cs="Arial"/>
        </w:rPr>
        <w:t>cofundů</w:t>
      </w:r>
      <w:proofErr w:type="spellEnd"/>
      <w:r w:rsidRPr="00511833">
        <w:rPr>
          <w:rFonts w:ascii="Arial" w:eastAsia="Arial" w:hAnsi="Arial" w:cs="Arial"/>
        </w:rPr>
        <w:t xml:space="preserve"> či obecně do výzev komunitárního programu Evropské komise Horizon</w:t>
      </w:r>
      <w:r w:rsidR="00AA0E9E">
        <w:rPr>
          <w:rFonts w:ascii="Arial" w:eastAsia="Arial" w:hAnsi="Arial" w:cs="Arial"/>
        </w:rPr>
        <w:t>t</w:t>
      </w:r>
      <w:r w:rsidRPr="00511833">
        <w:rPr>
          <w:rFonts w:ascii="Arial" w:eastAsia="Arial" w:hAnsi="Arial" w:cs="Arial"/>
        </w:rPr>
        <w:t xml:space="preserve"> 2020 je v současnosti nízké. Díky navýšení celkové intenzity programu bude možné navýšit maximální intenzitu p</w:t>
      </w:r>
      <w:r w:rsidR="00827D14">
        <w:rPr>
          <w:rFonts w:ascii="Arial" w:eastAsia="Arial" w:hAnsi="Arial" w:cs="Arial"/>
        </w:rPr>
        <w:t>odpory na českou část projektu  v</w:t>
      </w:r>
      <w:r w:rsidRPr="00511833">
        <w:rPr>
          <w:rFonts w:ascii="Arial" w:eastAsia="Arial" w:hAnsi="Arial" w:cs="Arial"/>
        </w:rPr>
        <w:t xml:space="preserve"> rámci výzev ERA-NET </w:t>
      </w:r>
      <w:proofErr w:type="spellStart"/>
      <w:r w:rsidRPr="00511833">
        <w:rPr>
          <w:rFonts w:ascii="Arial" w:eastAsia="Arial" w:hAnsi="Arial" w:cs="Arial"/>
        </w:rPr>
        <w:t>cofund</w:t>
      </w:r>
      <w:proofErr w:type="spellEnd"/>
      <w:r w:rsidRPr="00511833">
        <w:rPr>
          <w:rFonts w:ascii="Arial" w:eastAsia="Arial" w:hAnsi="Arial" w:cs="Arial"/>
        </w:rPr>
        <w:t xml:space="preserve"> až na plánovaných 85 %. </w:t>
      </w:r>
    </w:p>
    <w:p w:rsidR="00552EB0" w:rsidRPr="00511833" w:rsidRDefault="00552EB0" w:rsidP="00646F8D">
      <w:pPr>
        <w:pStyle w:val="Zkladntext2"/>
        <w:keepNext/>
        <w:numPr>
          <w:ilvl w:val="0"/>
          <w:numId w:val="2"/>
        </w:numPr>
        <w:spacing w:after="120"/>
        <w:ind w:hanging="862"/>
        <w:jc w:val="both"/>
        <w:rPr>
          <w:rFonts w:ascii="Arial" w:hAnsi="Arial" w:cs="Arial"/>
          <w:b/>
          <w:color w:val="0070C0"/>
          <w:szCs w:val="24"/>
        </w:rPr>
      </w:pPr>
      <w:r w:rsidRPr="00511833">
        <w:rPr>
          <w:rFonts w:ascii="Arial" w:hAnsi="Arial" w:cs="Arial"/>
          <w:b/>
          <w:color w:val="0070C0"/>
          <w:szCs w:val="24"/>
        </w:rPr>
        <w:t>Průběh programu</w:t>
      </w:r>
    </w:p>
    <w:p w:rsidR="00511833" w:rsidRPr="00511833" w:rsidRDefault="00F57481" w:rsidP="00511833">
      <w:pPr>
        <w:spacing w:before="120" w:after="120" w:line="276" w:lineRule="auto"/>
        <w:jc w:val="both"/>
        <w:rPr>
          <w:rFonts w:ascii="Arial" w:eastAsia="Arial" w:hAnsi="Arial" w:cs="Arial"/>
        </w:rPr>
      </w:pPr>
      <w:r>
        <w:rPr>
          <w:rFonts w:ascii="Arial" w:eastAsia="Arial" w:hAnsi="Arial" w:cs="Arial"/>
        </w:rPr>
        <w:t>TA ČR v předkládací zprávě uvádí, že v rámci</w:t>
      </w:r>
      <w:r w:rsidR="0045439B" w:rsidRPr="001A1D97">
        <w:rPr>
          <w:rFonts w:ascii="Arial" w:eastAsia="Arial" w:hAnsi="Arial" w:cs="Arial"/>
        </w:rPr>
        <w:t> programu bylo k říjnu 2019 vyhlášeno šest veřejných soutěží, do kterých bylo celkem podáno 1</w:t>
      </w:r>
      <w:r w:rsidR="00F01371">
        <w:rPr>
          <w:rFonts w:ascii="Arial" w:eastAsia="Arial" w:hAnsi="Arial" w:cs="Arial"/>
        </w:rPr>
        <w:t xml:space="preserve"> 861 projektů. Z toho 88 projektů bylo podpořeno v</w:t>
      </w:r>
      <w:r w:rsidR="0045439B" w:rsidRPr="001A1D97">
        <w:rPr>
          <w:rFonts w:ascii="Arial" w:eastAsia="Arial" w:hAnsi="Arial" w:cs="Arial"/>
        </w:rPr>
        <w:t> 1. veřejné soutěž</w:t>
      </w:r>
      <w:r w:rsidR="00F01371">
        <w:rPr>
          <w:rFonts w:ascii="Arial" w:eastAsia="Arial" w:hAnsi="Arial" w:cs="Arial"/>
        </w:rPr>
        <w:t>i, 262</w:t>
      </w:r>
      <w:r w:rsidR="0045439B" w:rsidRPr="001A1D97">
        <w:rPr>
          <w:rFonts w:ascii="Arial" w:eastAsia="Arial" w:hAnsi="Arial" w:cs="Arial"/>
        </w:rPr>
        <w:t xml:space="preserve"> projektů ve 2. veřejné soutěži</w:t>
      </w:r>
      <w:r w:rsidR="00F01371">
        <w:rPr>
          <w:rFonts w:ascii="Arial" w:eastAsia="Arial" w:hAnsi="Arial" w:cs="Arial"/>
        </w:rPr>
        <w:t>, 163 projektů ve  3</w:t>
      </w:r>
      <w:r>
        <w:rPr>
          <w:rFonts w:ascii="Arial" w:eastAsia="Arial" w:hAnsi="Arial" w:cs="Arial"/>
        </w:rPr>
        <w:t>.</w:t>
      </w:r>
      <w:r w:rsidR="00F01371">
        <w:rPr>
          <w:rFonts w:ascii="Arial" w:eastAsia="Arial" w:hAnsi="Arial" w:cs="Arial"/>
        </w:rPr>
        <w:t> </w:t>
      </w:r>
      <w:r w:rsidR="0045439B" w:rsidRPr="001A1D97">
        <w:rPr>
          <w:rFonts w:ascii="Arial" w:eastAsia="Arial" w:hAnsi="Arial" w:cs="Arial"/>
        </w:rPr>
        <w:t xml:space="preserve"> veřejné soutěži</w:t>
      </w:r>
      <w:r w:rsidR="00F01371">
        <w:rPr>
          <w:rFonts w:ascii="Arial" w:eastAsia="Arial" w:hAnsi="Arial" w:cs="Arial"/>
        </w:rPr>
        <w:t xml:space="preserve"> </w:t>
      </w:r>
      <w:r w:rsidR="00511833" w:rsidRPr="001A1D97">
        <w:rPr>
          <w:rFonts w:ascii="Arial" w:eastAsia="Arial" w:hAnsi="Arial" w:cs="Arial"/>
        </w:rPr>
        <w:t>a</w:t>
      </w:r>
      <w:r w:rsidR="00F01371">
        <w:rPr>
          <w:rFonts w:ascii="Arial" w:eastAsia="Arial" w:hAnsi="Arial" w:cs="Arial"/>
        </w:rPr>
        <w:t xml:space="preserve"> 145</w:t>
      </w:r>
      <w:r w:rsidR="00511833" w:rsidRPr="001A1D97">
        <w:rPr>
          <w:rFonts w:ascii="Arial" w:eastAsia="Arial" w:hAnsi="Arial" w:cs="Arial"/>
        </w:rPr>
        <w:t xml:space="preserve"> ve</w:t>
      </w:r>
      <w:r w:rsidR="0045439B" w:rsidRPr="001A1D97">
        <w:rPr>
          <w:rFonts w:ascii="Arial" w:eastAsia="Arial" w:hAnsi="Arial" w:cs="Arial"/>
        </w:rPr>
        <w:t xml:space="preserve"> 4. veřejné soutěži</w:t>
      </w:r>
      <w:r w:rsidR="00F01371">
        <w:rPr>
          <w:rFonts w:ascii="Arial" w:eastAsia="Arial" w:hAnsi="Arial" w:cs="Arial"/>
        </w:rPr>
        <w:t>.</w:t>
      </w:r>
      <w:r w:rsidR="0045439B" w:rsidRPr="001A1D97">
        <w:rPr>
          <w:rFonts w:ascii="Arial" w:eastAsia="Arial" w:hAnsi="Arial" w:cs="Arial"/>
        </w:rPr>
        <w:t xml:space="preserve"> V</w:t>
      </w:r>
      <w:r w:rsidR="00F01371">
        <w:rPr>
          <w:rFonts w:ascii="Arial" w:eastAsia="Arial" w:hAnsi="Arial" w:cs="Arial"/>
        </w:rPr>
        <w:t> 5.</w:t>
      </w:r>
      <w:r w:rsidR="0045439B" w:rsidRPr="001A1D97">
        <w:rPr>
          <w:rFonts w:ascii="Arial" w:eastAsia="Arial" w:hAnsi="Arial" w:cs="Arial"/>
        </w:rPr>
        <w:t xml:space="preserve"> veřejné soutěži byl podpořen </w:t>
      </w:r>
      <w:r w:rsidR="00A01CDB">
        <w:rPr>
          <w:rFonts w:ascii="Arial" w:eastAsia="Arial" w:hAnsi="Arial" w:cs="Arial"/>
        </w:rPr>
        <w:t>jeden</w:t>
      </w:r>
      <w:r w:rsidR="0045439B" w:rsidRPr="001A1D97">
        <w:rPr>
          <w:rFonts w:ascii="Arial" w:eastAsia="Arial" w:hAnsi="Arial" w:cs="Arial"/>
        </w:rPr>
        <w:t xml:space="preserve"> projekt v rámci schématu</w:t>
      </w:r>
      <w:r w:rsidR="00511833" w:rsidRPr="001A1D97">
        <w:rPr>
          <w:rFonts w:ascii="Arial" w:eastAsia="Arial" w:hAnsi="Arial" w:cs="Arial"/>
        </w:rPr>
        <w:t xml:space="preserve"> </w:t>
      </w:r>
      <w:r w:rsidR="0045439B" w:rsidRPr="001A1D97">
        <w:rPr>
          <w:rFonts w:ascii="Arial" w:eastAsia="Arial" w:hAnsi="Arial" w:cs="Arial"/>
        </w:rPr>
        <w:t xml:space="preserve">ERA-NET </w:t>
      </w:r>
      <w:proofErr w:type="spellStart"/>
      <w:r w:rsidR="0045439B" w:rsidRPr="001A1D97">
        <w:rPr>
          <w:rFonts w:ascii="Arial" w:eastAsia="Arial" w:hAnsi="Arial" w:cs="Arial"/>
        </w:rPr>
        <w:t>Cofund</w:t>
      </w:r>
      <w:proofErr w:type="spellEnd"/>
      <w:r w:rsidR="0045439B" w:rsidRPr="00511833">
        <w:rPr>
          <w:rFonts w:ascii="Arial" w:eastAsia="Arial" w:hAnsi="Arial" w:cs="Arial"/>
        </w:rPr>
        <w:t xml:space="preserve"> (CHIST-ERA III Call 2017)</w:t>
      </w:r>
      <w:r>
        <w:rPr>
          <w:rFonts w:ascii="Arial" w:eastAsia="Arial" w:hAnsi="Arial" w:cs="Arial"/>
        </w:rPr>
        <w:t xml:space="preserve"> </w:t>
      </w:r>
      <w:r w:rsidR="00CA0862">
        <w:rPr>
          <w:rFonts w:ascii="Arial" w:eastAsia="Arial" w:hAnsi="Arial" w:cs="Arial"/>
        </w:rPr>
        <w:t>a </w:t>
      </w:r>
      <w:r w:rsidR="00F01371">
        <w:rPr>
          <w:rFonts w:ascii="Arial" w:eastAsia="Arial" w:hAnsi="Arial" w:cs="Arial"/>
        </w:rPr>
        <w:t xml:space="preserve"> v 6. </w:t>
      </w:r>
      <w:r w:rsidR="0045439B" w:rsidRPr="00511833">
        <w:rPr>
          <w:rFonts w:ascii="Arial" w:eastAsia="Arial" w:hAnsi="Arial" w:cs="Arial"/>
        </w:rPr>
        <w:t xml:space="preserve"> veřejné soutěži byly </w:t>
      </w:r>
      <w:r w:rsidR="00511833" w:rsidRPr="00511833">
        <w:rPr>
          <w:rFonts w:ascii="Arial" w:eastAsia="Arial" w:hAnsi="Arial" w:cs="Arial"/>
        </w:rPr>
        <w:t> </w:t>
      </w:r>
      <w:r w:rsidR="0045439B" w:rsidRPr="00511833">
        <w:rPr>
          <w:rFonts w:ascii="Arial" w:eastAsia="Arial" w:hAnsi="Arial" w:cs="Arial"/>
        </w:rPr>
        <w:t xml:space="preserve">podpořeny </w:t>
      </w:r>
      <w:r w:rsidR="00A01CDB">
        <w:rPr>
          <w:rFonts w:ascii="Arial" w:eastAsia="Arial" w:hAnsi="Arial" w:cs="Arial"/>
        </w:rPr>
        <w:t>tři</w:t>
      </w:r>
      <w:r w:rsidR="0045439B" w:rsidRPr="00511833">
        <w:rPr>
          <w:rFonts w:ascii="Arial" w:eastAsia="Arial" w:hAnsi="Arial" w:cs="Arial"/>
        </w:rPr>
        <w:t xml:space="preserve"> projekty</w:t>
      </w:r>
      <w:r w:rsidR="00511833" w:rsidRPr="00511833">
        <w:rPr>
          <w:rFonts w:ascii="Arial" w:eastAsia="Arial" w:hAnsi="Arial" w:cs="Arial"/>
        </w:rPr>
        <w:t xml:space="preserve"> </w:t>
      </w:r>
      <w:r w:rsidR="0045439B" w:rsidRPr="00511833">
        <w:rPr>
          <w:rFonts w:ascii="Arial" w:eastAsia="Arial" w:hAnsi="Arial" w:cs="Arial"/>
        </w:rPr>
        <w:t xml:space="preserve">v rámci schématu ERA-NET </w:t>
      </w:r>
      <w:proofErr w:type="spellStart"/>
      <w:r w:rsidR="0045439B" w:rsidRPr="00511833">
        <w:rPr>
          <w:rFonts w:ascii="Arial" w:eastAsia="Arial" w:hAnsi="Arial" w:cs="Arial"/>
        </w:rPr>
        <w:t>Cofund</w:t>
      </w:r>
      <w:proofErr w:type="spellEnd"/>
      <w:r w:rsidR="0045439B" w:rsidRPr="00511833">
        <w:rPr>
          <w:rFonts w:ascii="Arial" w:eastAsia="Arial" w:hAnsi="Arial" w:cs="Arial"/>
        </w:rPr>
        <w:t xml:space="preserve"> (M-ERA.Net2 Call 2018).</w:t>
      </w:r>
      <w:bookmarkStart w:id="1" w:name="_heading=h.dlikm18t9x9i" w:colFirst="0" w:colLast="0"/>
      <w:bookmarkEnd w:id="1"/>
    </w:p>
    <w:p w:rsidR="0045439B" w:rsidRPr="00511833" w:rsidRDefault="005B5E98" w:rsidP="00511833">
      <w:pPr>
        <w:spacing w:before="120" w:after="120" w:line="276" w:lineRule="auto"/>
        <w:jc w:val="both"/>
        <w:rPr>
          <w:rFonts w:ascii="Arial" w:eastAsia="Arial" w:hAnsi="Arial" w:cs="Arial"/>
        </w:rPr>
      </w:pPr>
      <w:r>
        <w:rPr>
          <w:rFonts w:ascii="Arial" w:eastAsia="Arial" w:hAnsi="Arial" w:cs="Arial"/>
        </w:rPr>
        <w:t>N</w:t>
      </w:r>
      <w:r w:rsidR="0045439B" w:rsidRPr="00511833">
        <w:rPr>
          <w:rFonts w:ascii="Arial" w:eastAsia="Arial" w:hAnsi="Arial" w:cs="Arial"/>
        </w:rPr>
        <w:t>ásled</w:t>
      </w:r>
      <w:r w:rsidR="00511833" w:rsidRPr="00511833">
        <w:rPr>
          <w:rFonts w:ascii="Arial" w:eastAsia="Arial" w:hAnsi="Arial" w:cs="Arial"/>
        </w:rPr>
        <w:t>ně</w:t>
      </w:r>
      <w:r w:rsidR="0045439B" w:rsidRPr="00511833">
        <w:rPr>
          <w:rFonts w:ascii="Arial" w:eastAsia="Arial" w:hAnsi="Arial" w:cs="Arial"/>
        </w:rPr>
        <w:t xml:space="preserve"> je plánováno podpořit úspěšné české uchazeče v projektech z celkem 15 mezinárodních výzev ERA-NET </w:t>
      </w:r>
      <w:proofErr w:type="spellStart"/>
      <w:r w:rsidR="0045439B" w:rsidRPr="00511833">
        <w:rPr>
          <w:rFonts w:ascii="Arial" w:eastAsia="Arial" w:hAnsi="Arial" w:cs="Arial"/>
        </w:rPr>
        <w:t>Cofund</w:t>
      </w:r>
      <w:proofErr w:type="spellEnd"/>
      <w:r w:rsidR="0045439B" w:rsidRPr="00511833">
        <w:rPr>
          <w:rFonts w:ascii="Arial" w:eastAsia="Arial" w:hAnsi="Arial" w:cs="Arial"/>
        </w:rPr>
        <w:t xml:space="preserve">, </w:t>
      </w:r>
      <w:r w:rsidR="00511833" w:rsidRPr="00511833">
        <w:rPr>
          <w:rFonts w:ascii="Arial" w:eastAsia="Arial" w:hAnsi="Arial" w:cs="Arial"/>
        </w:rPr>
        <w:t>do</w:t>
      </w:r>
      <w:r w:rsidR="0045439B" w:rsidRPr="00511833">
        <w:rPr>
          <w:rFonts w:ascii="Arial" w:eastAsia="Arial" w:hAnsi="Arial" w:cs="Arial"/>
        </w:rPr>
        <w:t xml:space="preserve"> kterých je TA ČR zapojena. Poskytnutí podpory na projekty mezinárodní spolupráce ve výzkumu, vývoji a inovacích proběhne na základě hodnocení a výběru projektů uskutečněného na mezinárodní úrovni.</w:t>
      </w:r>
    </w:p>
    <w:p w:rsidR="00646F8D" w:rsidRDefault="00552EB0" w:rsidP="00646F8D">
      <w:pPr>
        <w:pStyle w:val="Zkladntext2"/>
        <w:keepNext/>
        <w:numPr>
          <w:ilvl w:val="0"/>
          <w:numId w:val="2"/>
        </w:numPr>
        <w:spacing w:after="120"/>
        <w:ind w:hanging="862"/>
        <w:jc w:val="both"/>
        <w:rPr>
          <w:rFonts w:ascii="Arial" w:hAnsi="Arial" w:cs="Arial"/>
          <w:b/>
          <w:color w:val="0070C0"/>
          <w:szCs w:val="24"/>
        </w:rPr>
      </w:pPr>
      <w:bookmarkStart w:id="2" w:name="_heading=h.30j0zll" w:colFirst="0" w:colLast="0"/>
      <w:bookmarkEnd w:id="2"/>
      <w:r w:rsidRPr="00F204BE">
        <w:rPr>
          <w:rFonts w:ascii="Arial" w:hAnsi="Arial" w:cs="Arial"/>
          <w:b/>
          <w:color w:val="0070C0"/>
          <w:szCs w:val="24"/>
        </w:rPr>
        <w:t>Financování programu</w:t>
      </w:r>
    </w:p>
    <w:p w:rsidR="001A1D97" w:rsidRDefault="009B08B1" w:rsidP="009B08B1">
      <w:pPr>
        <w:spacing w:after="120" w:line="276" w:lineRule="auto"/>
        <w:jc w:val="both"/>
        <w:rPr>
          <w:rFonts w:ascii="Arial" w:eastAsia="Arial" w:hAnsi="Arial" w:cs="Arial"/>
        </w:rPr>
      </w:pPr>
      <w:r>
        <w:rPr>
          <w:rFonts w:ascii="Arial" w:eastAsia="Arial" w:hAnsi="Arial" w:cs="Arial"/>
        </w:rPr>
        <w:t>TA</w:t>
      </w:r>
      <w:r w:rsidR="0016562D">
        <w:rPr>
          <w:rFonts w:ascii="Arial" w:eastAsia="Arial" w:hAnsi="Arial" w:cs="Arial"/>
        </w:rPr>
        <w:t xml:space="preserve"> </w:t>
      </w:r>
      <w:r>
        <w:rPr>
          <w:rFonts w:ascii="Arial" w:eastAsia="Arial" w:hAnsi="Arial" w:cs="Arial"/>
        </w:rPr>
        <w:t>ČR v souvislosti se změnami programu upravila</w:t>
      </w:r>
      <w:r w:rsidR="001A1D97" w:rsidRPr="001A1D97">
        <w:rPr>
          <w:rFonts w:ascii="Arial" w:eastAsia="Arial" w:hAnsi="Arial" w:cs="Arial"/>
        </w:rPr>
        <w:t xml:space="preserve"> také</w:t>
      </w:r>
      <w:r>
        <w:rPr>
          <w:rFonts w:ascii="Arial" w:eastAsia="Arial" w:hAnsi="Arial" w:cs="Arial"/>
        </w:rPr>
        <w:t xml:space="preserve"> jeho</w:t>
      </w:r>
      <w:r w:rsidR="001A1D97" w:rsidRPr="001A1D97">
        <w:rPr>
          <w:rFonts w:ascii="Arial" w:eastAsia="Arial" w:hAnsi="Arial" w:cs="Arial"/>
        </w:rPr>
        <w:t xml:space="preserve"> rozpočet - byly sníženy celkové výdaje </w:t>
      </w:r>
      <w:r w:rsidR="00943383">
        <w:rPr>
          <w:rFonts w:ascii="Arial" w:eastAsia="Arial" w:hAnsi="Arial" w:cs="Arial"/>
        </w:rPr>
        <w:t>snížením</w:t>
      </w:r>
      <w:r w:rsidR="001A1D97" w:rsidRPr="001A1D97">
        <w:rPr>
          <w:rFonts w:ascii="Arial" w:eastAsia="Arial" w:hAnsi="Arial" w:cs="Arial"/>
        </w:rPr>
        <w:t> </w:t>
      </w:r>
      <w:r w:rsidR="00116E6B">
        <w:rPr>
          <w:rFonts w:ascii="Arial" w:eastAsia="Arial" w:hAnsi="Arial" w:cs="Arial"/>
        </w:rPr>
        <w:t>výdaj</w:t>
      </w:r>
      <w:r w:rsidR="00943383">
        <w:rPr>
          <w:rFonts w:ascii="Arial" w:eastAsia="Arial" w:hAnsi="Arial" w:cs="Arial"/>
        </w:rPr>
        <w:t>ů</w:t>
      </w:r>
      <w:r w:rsidR="00116E6B">
        <w:rPr>
          <w:rFonts w:ascii="Arial" w:eastAsia="Arial" w:hAnsi="Arial" w:cs="Arial"/>
        </w:rPr>
        <w:t xml:space="preserve"> z </w:t>
      </w:r>
      <w:r w:rsidR="001A1D97" w:rsidRPr="001A1D97">
        <w:rPr>
          <w:rFonts w:ascii="Arial" w:eastAsia="Arial" w:hAnsi="Arial" w:cs="Arial"/>
        </w:rPr>
        <w:t>neveřejn</w:t>
      </w:r>
      <w:r w:rsidR="00116E6B">
        <w:rPr>
          <w:rFonts w:ascii="Arial" w:eastAsia="Arial" w:hAnsi="Arial" w:cs="Arial"/>
        </w:rPr>
        <w:t>ých zdrojů.</w:t>
      </w:r>
      <w:r w:rsidR="001A1D97" w:rsidRPr="001A1D97">
        <w:rPr>
          <w:rFonts w:ascii="Arial" w:eastAsia="Arial" w:hAnsi="Arial" w:cs="Arial"/>
        </w:rPr>
        <w:t xml:space="preserve"> </w:t>
      </w:r>
      <w:r w:rsidR="00E341ED" w:rsidRPr="00E341ED">
        <w:rPr>
          <w:rFonts w:ascii="Arial" w:eastAsia="Arial" w:hAnsi="Arial" w:cs="Arial"/>
          <w:b/>
        </w:rPr>
        <w:t>Celkové v</w:t>
      </w:r>
      <w:r w:rsidR="001A1D97" w:rsidRPr="005B5E98">
        <w:rPr>
          <w:rFonts w:ascii="Arial" w:eastAsia="Arial" w:hAnsi="Arial" w:cs="Arial"/>
          <w:b/>
        </w:rPr>
        <w:t>ýdaje ze státního rozpočtu zůstaly zachovány a</w:t>
      </w:r>
      <w:r w:rsidRPr="005B5E98">
        <w:rPr>
          <w:rFonts w:ascii="Arial" w:eastAsia="Arial" w:hAnsi="Arial" w:cs="Arial"/>
          <w:b/>
        </w:rPr>
        <w:t> </w:t>
      </w:r>
      <w:r w:rsidR="001A1D97" w:rsidRPr="005B5E98">
        <w:rPr>
          <w:rFonts w:ascii="Arial" w:eastAsia="Arial" w:hAnsi="Arial" w:cs="Arial"/>
          <w:b/>
        </w:rPr>
        <w:t xml:space="preserve">změna nemá dodatečný vliv na </w:t>
      </w:r>
      <w:r w:rsidR="00E341ED">
        <w:rPr>
          <w:rFonts w:ascii="Arial" w:eastAsia="Arial" w:hAnsi="Arial" w:cs="Arial"/>
          <w:b/>
        </w:rPr>
        <w:t xml:space="preserve">celkovou </w:t>
      </w:r>
      <w:r w:rsidR="00003367">
        <w:rPr>
          <w:rFonts w:ascii="Arial" w:eastAsia="Arial" w:hAnsi="Arial" w:cs="Arial"/>
          <w:b/>
        </w:rPr>
        <w:t>výši čerpání ze </w:t>
      </w:r>
      <w:r w:rsidR="001A1D97" w:rsidRPr="005B5E98">
        <w:rPr>
          <w:rFonts w:ascii="Arial" w:eastAsia="Arial" w:hAnsi="Arial" w:cs="Arial"/>
          <w:b/>
        </w:rPr>
        <w:t xml:space="preserve"> státního rozpočtu.</w:t>
      </w:r>
      <w:r w:rsidR="001A1D97" w:rsidRPr="001A1D97">
        <w:rPr>
          <w:rFonts w:ascii="Arial" w:eastAsia="Arial" w:hAnsi="Arial" w:cs="Arial"/>
        </w:rPr>
        <w:t xml:space="preserve"> </w:t>
      </w:r>
      <w:r w:rsidR="00E341ED">
        <w:rPr>
          <w:rFonts w:ascii="Arial" w:eastAsia="Arial" w:hAnsi="Arial" w:cs="Arial"/>
        </w:rPr>
        <w:t xml:space="preserve">Byly </w:t>
      </w:r>
      <w:r w:rsidR="008E3FFA">
        <w:rPr>
          <w:rFonts w:ascii="Arial" w:eastAsia="Arial" w:hAnsi="Arial" w:cs="Arial"/>
        </w:rPr>
        <w:t>sníženy</w:t>
      </w:r>
      <w:r w:rsidR="00E341ED">
        <w:rPr>
          <w:rFonts w:ascii="Arial" w:eastAsia="Arial" w:hAnsi="Arial" w:cs="Arial"/>
        </w:rPr>
        <w:t xml:space="preserve"> ročn</w:t>
      </w:r>
      <w:r w:rsidR="00003367">
        <w:rPr>
          <w:rFonts w:ascii="Arial" w:eastAsia="Arial" w:hAnsi="Arial" w:cs="Arial"/>
        </w:rPr>
        <w:t xml:space="preserve">í alokace výdajů v letech 2019 - 2020 a </w:t>
      </w:r>
      <w:r w:rsidR="00E341ED">
        <w:rPr>
          <w:rFonts w:ascii="Arial" w:eastAsia="Arial" w:hAnsi="Arial" w:cs="Arial"/>
        </w:rPr>
        <w:t xml:space="preserve">tato „rezerva“ použita pro pokrytí roku 2026. </w:t>
      </w:r>
    </w:p>
    <w:p w:rsidR="001A1D97" w:rsidRPr="009B08B1" w:rsidRDefault="005B5E98" w:rsidP="009B08B1">
      <w:pPr>
        <w:spacing w:before="120" w:line="276" w:lineRule="auto"/>
        <w:jc w:val="both"/>
        <w:rPr>
          <w:rFonts w:ascii="Arial" w:eastAsia="Arial" w:hAnsi="Arial" w:cs="Arial"/>
        </w:rPr>
      </w:pPr>
      <w:r>
        <w:rPr>
          <w:rFonts w:ascii="Arial" w:eastAsia="Arial" w:hAnsi="Arial" w:cs="Arial"/>
        </w:rPr>
        <w:t>K v</w:t>
      </w:r>
      <w:r w:rsidR="001A1D97" w:rsidRPr="001A1D97">
        <w:rPr>
          <w:rFonts w:ascii="Arial" w:eastAsia="Arial" w:hAnsi="Arial" w:cs="Arial"/>
        </w:rPr>
        <w:t>yšší intenzit</w:t>
      </w:r>
      <w:r>
        <w:rPr>
          <w:rFonts w:ascii="Arial" w:eastAsia="Arial" w:hAnsi="Arial" w:cs="Arial"/>
        </w:rPr>
        <w:t>ě</w:t>
      </w:r>
      <w:r w:rsidR="001A1D97" w:rsidRPr="001A1D97">
        <w:rPr>
          <w:rFonts w:ascii="Arial" w:eastAsia="Arial" w:hAnsi="Arial" w:cs="Arial"/>
        </w:rPr>
        <w:t xml:space="preserve"> podpory</w:t>
      </w:r>
      <w:r>
        <w:rPr>
          <w:rFonts w:ascii="Arial" w:eastAsia="Arial" w:hAnsi="Arial" w:cs="Arial"/>
        </w:rPr>
        <w:t xml:space="preserve"> TA</w:t>
      </w:r>
      <w:r w:rsidR="0016562D">
        <w:rPr>
          <w:rFonts w:ascii="Arial" w:eastAsia="Arial" w:hAnsi="Arial" w:cs="Arial"/>
        </w:rPr>
        <w:t xml:space="preserve"> </w:t>
      </w:r>
      <w:r>
        <w:rPr>
          <w:rFonts w:ascii="Arial" w:eastAsia="Arial" w:hAnsi="Arial" w:cs="Arial"/>
        </w:rPr>
        <w:t>ČR uvádí, že její pomocí bude zajištěna</w:t>
      </w:r>
      <w:r w:rsidR="001A1D97" w:rsidRPr="001A1D97">
        <w:rPr>
          <w:rFonts w:ascii="Arial" w:eastAsia="Arial" w:hAnsi="Arial" w:cs="Arial"/>
        </w:rPr>
        <w:t xml:space="preserve"> konkurenceschopnost vůči ostatním programům TA ČR</w:t>
      </w:r>
      <w:r>
        <w:rPr>
          <w:rFonts w:ascii="Arial" w:eastAsia="Arial" w:hAnsi="Arial" w:cs="Arial"/>
        </w:rPr>
        <w:t xml:space="preserve"> zaměřeným na </w:t>
      </w:r>
      <w:r w:rsidRPr="001A1D97">
        <w:rPr>
          <w:rFonts w:ascii="Arial" w:eastAsia="Arial" w:hAnsi="Arial" w:cs="Arial"/>
        </w:rPr>
        <w:t xml:space="preserve">podporu </w:t>
      </w:r>
      <w:r w:rsidRPr="001A1D97">
        <w:rPr>
          <w:rFonts w:ascii="Arial" w:eastAsia="Arial" w:hAnsi="Arial" w:cs="Arial"/>
        </w:rPr>
        <w:lastRenderedPageBreak/>
        <w:t>mezinárodní spolupráce</w:t>
      </w:r>
      <w:r w:rsidR="00116E6B">
        <w:rPr>
          <w:rStyle w:val="Znakapoznpodarou"/>
          <w:rFonts w:ascii="Arial" w:eastAsia="Arial" w:hAnsi="Arial" w:cs="Arial"/>
        </w:rPr>
        <w:footnoteReference w:id="3"/>
      </w:r>
      <w:r w:rsidR="00116E6B">
        <w:rPr>
          <w:rFonts w:ascii="Arial" w:eastAsia="Arial" w:hAnsi="Arial" w:cs="Arial"/>
        </w:rPr>
        <w:t>.</w:t>
      </w:r>
      <w:r>
        <w:rPr>
          <w:rFonts w:ascii="Arial" w:eastAsia="Arial" w:hAnsi="Arial" w:cs="Arial"/>
        </w:rPr>
        <w:t xml:space="preserve"> Současná</w:t>
      </w:r>
      <w:r w:rsidR="001A1D97" w:rsidRPr="001A1D97">
        <w:rPr>
          <w:rFonts w:ascii="Arial" w:eastAsia="Arial" w:hAnsi="Arial" w:cs="Arial"/>
        </w:rPr>
        <w:t xml:space="preserve"> </w:t>
      </w:r>
      <w:r w:rsidR="006D7EC5">
        <w:rPr>
          <w:rFonts w:ascii="Arial" w:eastAsia="Arial" w:hAnsi="Arial" w:cs="Arial"/>
        </w:rPr>
        <w:t xml:space="preserve">intenzita </w:t>
      </w:r>
      <w:r w:rsidR="001A1D97" w:rsidRPr="001A1D97">
        <w:rPr>
          <w:rFonts w:ascii="Arial" w:eastAsia="Arial" w:hAnsi="Arial" w:cs="Arial"/>
        </w:rPr>
        <w:t xml:space="preserve">podpory v programu </w:t>
      </w:r>
      <w:r>
        <w:rPr>
          <w:rFonts w:ascii="Arial" w:eastAsia="Arial" w:hAnsi="Arial" w:cs="Arial"/>
        </w:rPr>
        <w:t xml:space="preserve">není </w:t>
      </w:r>
      <w:r w:rsidR="001A1D97" w:rsidRPr="001A1D97">
        <w:rPr>
          <w:rFonts w:ascii="Arial" w:eastAsia="Arial" w:hAnsi="Arial" w:cs="Arial"/>
        </w:rPr>
        <w:t xml:space="preserve">pro české výzkumníky atraktivní. </w:t>
      </w:r>
    </w:p>
    <w:p w:rsidR="00F204BE" w:rsidRPr="00F204BE" w:rsidRDefault="00943383" w:rsidP="009B08B1">
      <w:pPr>
        <w:widowControl w:val="0"/>
        <w:pBdr>
          <w:top w:val="nil"/>
          <w:left w:val="nil"/>
          <w:bottom w:val="nil"/>
          <w:right w:val="nil"/>
          <w:between w:val="nil"/>
        </w:pBdr>
        <w:spacing w:before="158"/>
        <w:ind w:right="4258"/>
        <w:rPr>
          <w:rFonts w:ascii="Arial" w:hAnsi="Arial" w:cs="Arial"/>
          <w:color w:val="000000"/>
        </w:rPr>
      </w:pPr>
      <w:r>
        <w:rPr>
          <w:rFonts w:ascii="Arial" w:hAnsi="Arial" w:cs="Arial"/>
          <w:color w:val="000000"/>
        </w:rPr>
        <w:t>Navrhovaný r</w:t>
      </w:r>
      <w:r w:rsidR="00F204BE" w:rsidRPr="00F204BE">
        <w:rPr>
          <w:rFonts w:ascii="Arial" w:hAnsi="Arial" w:cs="Arial"/>
          <w:color w:val="000000"/>
        </w:rPr>
        <w:t xml:space="preserve">ozpočet </w:t>
      </w:r>
      <w:r w:rsidR="00F01371" w:rsidRPr="00F204BE">
        <w:rPr>
          <w:rFonts w:ascii="Arial" w:hAnsi="Arial" w:cs="Arial"/>
          <w:color w:val="000000"/>
        </w:rPr>
        <w:t xml:space="preserve">programu </w:t>
      </w:r>
      <w:r w:rsidR="00F01371">
        <w:rPr>
          <w:rFonts w:ascii="Arial" w:hAnsi="Arial" w:cs="Arial"/>
          <w:color w:val="000000"/>
        </w:rPr>
        <w:t>(mil.</w:t>
      </w:r>
      <w:r w:rsidR="00F204BE" w:rsidRPr="00F204BE">
        <w:rPr>
          <w:rFonts w:ascii="Arial" w:hAnsi="Arial" w:cs="Arial"/>
          <w:color w:val="000000"/>
        </w:rPr>
        <w:t xml:space="preserve"> Kč</w:t>
      </w:r>
      <w:r w:rsidR="00F01371">
        <w:rPr>
          <w:rFonts w:ascii="Arial" w:hAnsi="Arial" w:cs="Arial"/>
          <w:color w:val="000000"/>
        </w:rPr>
        <w:t>)</w:t>
      </w:r>
      <w:r w:rsidR="00F204BE">
        <w:rPr>
          <w:rFonts w:ascii="Arial" w:hAnsi="Arial" w:cs="Arial"/>
          <w:color w:val="000000"/>
        </w:rPr>
        <w:t>:</w:t>
      </w:r>
      <w:r w:rsidR="00F204BE" w:rsidRPr="00F204BE">
        <w:rPr>
          <w:rFonts w:ascii="Arial" w:hAnsi="Arial" w:cs="Arial"/>
          <w:color w:val="000000"/>
        </w:rPr>
        <w:t xml:space="preserve"> </w:t>
      </w:r>
    </w:p>
    <w:p w:rsidR="00F204BE" w:rsidRPr="00F204BE" w:rsidRDefault="00F204BE" w:rsidP="00F204BE">
      <w:pPr>
        <w:widowControl w:val="0"/>
        <w:spacing w:before="8"/>
        <w:ind w:left="142"/>
        <w:rPr>
          <w:b/>
          <w:sz w:val="10"/>
          <w:szCs w:val="10"/>
        </w:rPr>
      </w:pP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19"/>
        <w:gridCol w:w="567"/>
        <w:gridCol w:w="567"/>
        <w:gridCol w:w="708"/>
        <w:gridCol w:w="709"/>
        <w:gridCol w:w="709"/>
        <w:gridCol w:w="709"/>
        <w:gridCol w:w="709"/>
        <w:gridCol w:w="566"/>
        <w:gridCol w:w="567"/>
        <w:gridCol w:w="567"/>
        <w:gridCol w:w="567"/>
        <w:gridCol w:w="567"/>
        <w:gridCol w:w="851"/>
      </w:tblGrid>
      <w:tr w:rsidR="00F204BE" w:rsidRPr="00F204BE" w:rsidTr="004C574C">
        <w:trPr>
          <w:trHeight w:val="280"/>
        </w:trPr>
        <w:tc>
          <w:tcPr>
            <w:tcW w:w="1019" w:type="dxa"/>
          </w:tcPr>
          <w:p w:rsidR="00F204BE" w:rsidRPr="00F204BE" w:rsidRDefault="00F204BE" w:rsidP="00F02AAD">
            <w:pPr>
              <w:widowControl w:val="0"/>
              <w:spacing w:before="103"/>
              <w:ind w:left="-165" w:firstLine="205"/>
              <w:rPr>
                <w:rFonts w:ascii="Arial" w:hAnsi="Arial" w:cs="Arial"/>
                <w:b/>
                <w:sz w:val="16"/>
                <w:szCs w:val="16"/>
              </w:rPr>
            </w:pPr>
            <w:r w:rsidRPr="00F204BE">
              <w:rPr>
                <w:rFonts w:ascii="Arial" w:hAnsi="Arial" w:cs="Arial"/>
                <w:b/>
                <w:sz w:val="16"/>
                <w:szCs w:val="16"/>
              </w:rPr>
              <w:t>Rok</w:t>
            </w:r>
          </w:p>
        </w:tc>
        <w:tc>
          <w:tcPr>
            <w:tcW w:w="567" w:type="dxa"/>
          </w:tcPr>
          <w:p w:rsidR="00F204BE" w:rsidRPr="00F204BE" w:rsidRDefault="00F204BE" w:rsidP="00F02AAD">
            <w:pPr>
              <w:widowControl w:val="0"/>
              <w:spacing w:before="103"/>
              <w:ind w:right="-107"/>
              <w:rPr>
                <w:rFonts w:ascii="Arial" w:hAnsi="Arial" w:cs="Arial"/>
                <w:b/>
                <w:sz w:val="16"/>
                <w:szCs w:val="16"/>
              </w:rPr>
            </w:pPr>
            <w:r w:rsidRPr="00F204BE">
              <w:rPr>
                <w:rFonts w:ascii="Arial" w:hAnsi="Arial" w:cs="Arial"/>
                <w:b/>
                <w:sz w:val="16"/>
                <w:szCs w:val="16"/>
              </w:rPr>
              <w:t>2015</w:t>
            </w:r>
          </w:p>
        </w:tc>
        <w:tc>
          <w:tcPr>
            <w:tcW w:w="567" w:type="dxa"/>
          </w:tcPr>
          <w:p w:rsidR="00F204BE" w:rsidRPr="00F204BE" w:rsidRDefault="00F204BE" w:rsidP="00F02AAD">
            <w:pPr>
              <w:widowControl w:val="0"/>
              <w:spacing w:before="103"/>
              <w:ind w:right="-111"/>
              <w:rPr>
                <w:rFonts w:ascii="Arial" w:hAnsi="Arial" w:cs="Arial"/>
                <w:b/>
                <w:sz w:val="16"/>
                <w:szCs w:val="16"/>
              </w:rPr>
            </w:pPr>
            <w:r w:rsidRPr="00F204BE">
              <w:rPr>
                <w:rFonts w:ascii="Arial" w:hAnsi="Arial" w:cs="Arial"/>
                <w:b/>
                <w:sz w:val="16"/>
                <w:szCs w:val="16"/>
              </w:rPr>
              <w:t>2016</w:t>
            </w:r>
          </w:p>
        </w:tc>
        <w:tc>
          <w:tcPr>
            <w:tcW w:w="708" w:type="dxa"/>
          </w:tcPr>
          <w:p w:rsidR="00F204BE" w:rsidRPr="00F204BE" w:rsidRDefault="00F204BE" w:rsidP="00F02AAD">
            <w:pPr>
              <w:widowControl w:val="0"/>
              <w:spacing w:before="103"/>
              <w:ind w:right="-106"/>
              <w:rPr>
                <w:rFonts w:ascii="Arial" w:hAnsi="Arial" w:cs="Arial"/>
                <w:b/>
                <w:sz w:val="16"/>
                <w:szCs w:val="16"/>
              </w:rPr>
            </w:pPr>
            <w:r w:rsidRPr="00F204BE">
              <w:rPr>
                <w:rFonts w:ascii="Arial" w:hAnsi="Arial" w:cs="Arial"/>
                <w:b/>
                <w:sz w:val="16"/>
                <w:szCs w:val="16"/>
              </w:rPr>
              <w:t xml:space="preserve"> 2017</w:t>
            </w:r>
          </w:p>
        </w:tc>
        <w:tc>
          <w:tcPr>
            <w:tcW w:w="709" w:type="dxa"/>
          </w:tcPr>
          <w:p w:rsidR="00F204BE" w:rsidRPr="00F204BE" w:rsidRDefault="00F204BE" w:rsidP="00F02AAD">
            <w:pPr>
              <w:widowControl w:val="0"/>
              <w:spacing w:before="103"/>
              <w:ind w:right="-113"/>
              <w:rPr>
                <w:rFonts w:ascii="Arial" w:hAnsi="Arial" w:cs="Arial"/>
                <w:b/>
                <w:sz w:val="16"/>
                <w:szCs w:val="16"/>
              </w:rPr>
            </w:pPr>
            <w:r w:rsidRPr="00F204BE">
              <w:rPr>
                <w:rFonts w:ascii="Arial" w:hAnsi="Arial" w:cs="Arial"/>
                <w:b/>
                <w:sz w:val="16"/>
                <w:szCs w:val="16"/>
              </w:rPr>
              <w:t>2018</w:t>
            </w:r>
          </w:p>
        </w:tc>
        <w:tc>
          <w:tcPr>
            <w:tcW w:w="709" w:type="dxa"/>
          </w:tcPr>
          <w:p w:rsidR="00F204BE" w:rsidRPr="00F204BE" w:rsidRDefault="00F204BE" w:rsidP="00F02AAD">
            <w:pPr>
              <w:widowControl w:val="0"/>
              <w:spacing w:before="103"/>
              <w:ind w:left="18" w:right="6"/>
              <w:jc w:val="center"/>
              <w:rPr>
                <w:rFonts w:ascii="Arial" w:hAnsi="Arial" w:cs="Arial"/>
                <w:b/>
                <w:sz w:val="16"/>
                <w:szCs w:val="16"/>
              </w:rPr>
            </w:pPr>
            <w:r w:rsidRPr="00F204BE">
              <w:rPr>
                <w:rFonts w:ascii="Arial" w:hAnsi="Arial" w:cs="Arial"/>
                <w:b/>
                <w:sz w:val="16"/>
                <w:szCs w:val="16"/>
              </w:rPr>
              <w:t>2019</w:t>
            </w:r>
          </w:p>
        </w:tc>
        <w:tc>
          <w:tcPr>
            <w:tcW w:w="709" w:type="dxa"/>
          </w:tcPr>
          <w:p w:rsidR="00F204BE" w:rsidRPr="00F204BE" w:rsidRDefault="00F204BE" w:rsidP="00F02AAD">
            <w:pPr>
              <w:widowControl w:val="0"/>
              <w:spacing w:before="103"/>
              <w:ind w:left="18" w:right="6"/>
              <w:jc w:val="center"/>
              <w:rPr>
                <w:rFonts w:ascii="Arial" w:hAnsi="Arial" w:cs="Arial"/>
                <w:b/>
                <w:sz w:val="16"/>
                <w:szCs w:val="16"/>
              </w:rPr>
            </w:pPr>
            <w:r w:rsidRPr="00F204BE">
              <w:rPr>
                <w:rFonts w:ascii="Arial" w:hAnsi="Arial" w:cs="Arial"/>
                <w:b/>
                <w:sz w:val="16"/>
                <w:szCs w:val="16"/>
              </w:rPr>
              <w:t>2020</w:t>
            </w:r>
          </w:p>
        </w:tc>
        <w:tc>
          <w:tcPr>
            <w:tcW w:w="709" w:type="dxa"/>
          </w:tcPr>
          <w:p w:rsidR="00F204BE" w:rsidRPr="00F204BE" w:rsidRDefault="00F204BE" w:rsidP="00F02AAD">
            <w:pPr>
              <w:widowControl w:val="0"/>
              <w:spacing w:before="103"/>
              <w:ind w:left="18" w:right="6"/>
              <w:jc w:val="center"/>
              <w:rPr>
                <w:rFonts w:ascii="Arial" w:hAnsi="Arial" w:cs="Arial"/>
                <w:b/>
                <w:sz w:val="16"/>
                <w:szCs w:val="16"/>
              </w:rPr>
            </w:pPr>
            <w:r w:rsidRPr="00F204BE">
              <w:rPr>
                <w:rFonts w:ascii="Arial" w:hAnsi="Arial" w:cs="Arial"/>
                <w:b/>
                <w:sz w:val="16"/>
                <w:szCs w:val="16"/>
              </w:rPr>
              <w:t>2021</w:t>
            </w:r>
          </w:p>
        </w:tc>
        <w:tc>
          <w:tcPr>
            <w:tcW w:w="566" w:type="dxa"/>
          </w:tcPr>
          <w:p w:rsidR="00F204BE" w:rsidRPr="00F204BE" w:rsidRDefault="00F204BE" w:rsidP="00F02AAD">
            <w:pPr>
              <w:widowControl w:val="0"/>
              <w:spacing w:before="103"/>
              <w:ind w:right="-114"/>
              <w:rPr>
                <w:rFonts w:ascii="Arial" w:hAnsi="Arial" w:cs="Arial"/>
                <w:b/>
                <w:sz w:val="16"/>
                <w:szCs w:val="16"/>
              </w:rPr>
            </w:pPr>
            <w:r w:rsidRPr="00F204BE">
              <w:rPr>
                <w:rFonts w:ascii="Arial" w:hAnsi="Arial" w:cs="Arial"/>
                <w:b/>
                <w:sz w:val="16"/>
                <w:szCs w:val="16"/>
              </w:rPr>
              <w:t>2022</w:t>
            </w:r>
          </w:p>
        </w:tc>
        <w:tc>
          <w:tcPr>
            <w:tcW w:w="567" w:type="dxa"/>
          </w:tcPr>
          <w:p w:rsidR="00F204BE" w:rsidRPr="00F204BE" w:rsidRDefault="00F204BE" w:rsidP="00F02AAD">
            <w:pPr>
              <w:widowControl w:val="0"/>
              <w:spacing w:before="103"/>
              <w:ind w:right="-105"/>
              <w:rPr>
                <w:rFonts w:ascii="Arial" w:hAnsi="Arial" w:cs="Arial"/>
                <w:b/>
                <w:sz w:val="16"/>
                <w:szCs w:val="16"/>
              </w:rPr>
            </w:pPr>
            <w:r w:rsidRPr="00F204BE">
              <w:rPr>
                <w:rFonts w:ascii="Arial" w:hAnsi="Arial" w:cs="Arial"/>
                <w:b/>
                <w:sz w:val="16"/>
                <w:szCs w:val="16"/>
              </w:rPr>
              <w:t>2023</w:t>
            </w:r>
          </w:p>
        </w:tc>
        <w:tc>
          <w:tcPr>
            <w:tcW w:w="567" w:type="dxa"/>
          </w:tcPr>
          <w:p w:rsidR="00F204BE" w:rsidRPr="00F204BE" w:rsidRDefault="00F204BE" w:rsidP="00F02AAD">
            <w:pPr>
              <w:widowControl w:val="0"/>
              <w:spacing w:before="103"/>
              <w:ind w:right="-108"/>
              <w:rPr>
                <w:rFonts w:ascii="Arial" w:hAnsi="Arial" w:cs="Arial"/>
                <w:b/>
                <w:sz w:val="16"/>
                <w:szCs w:val="16"/>
              </w:rPr>
            </w:pPr>
            <w:r w:rsidRPr="00F204BE">
              <w:rPr>
                <w:rFonts w:ascii="Arial" w:hAnsi="Arial" w:cs="Arial"/>
                <w:b/>
                <w:sz w:val="16"/>
                <w:szCs w:val="16"/>
              </w:rPr>
              <w:t>2024</w:t>
            </w:r>
          </w:p>
        </w:tc>
        <w:tc>
          <w:tcPr>
            <w:tcW w:w="567" w:type="dxa"/>
          </w:tcPr>
          <w:p w:rsidR="00F204BE" w:rsidRPr="00F204BE" w:rsidRDefault="00F204BE" w:rsidP="00F02AAD">
            <w:pPr>
              <w:widowControl w:val="0"/>
              <w:spacing w:before="103"/>
              <w:ind w:right="-112"/>
              <w:rPr>
                <w:rFonts w:ascii="Arial" w:hAnsi="Arial" w:cs="Arial"/>
                <w:b/>
                <w:sz w:val="16"/>
                <w:szCs w:val="16"/>
              </w:rPr>
            </w:pPr>
            <w:r w:rsidRPr="00F204BE">
              <w:rPr>
                <w:rFonts w:ascii="Arial" w:hAnsi="Arial" w:cs="Arial"/>
                <w:b/>
                <w:sz w:val="16"/>
                <w:szCs w:val="16"/>
              </w:rPr>
              <w:t xml:space="preserve"> 2025</w:t>
            </w:r>
          </w:p>
        </w:tc>
        <w:tc>
          <w:tcPr>
            <w:tcW w:w="567" w:type="dxa"/>
          </w:tcPr>
          <w:p w:rsidR="00F204BE" w:rsidRPr="00F204BE" w:rsidRDefault="00F204BE" w:rsidP="00F02AAD">
            <w:pPr>
              <w:widowControl w:val="0"/>
              <w:spacing w:before="103"/>
              <w:ind w:right="-103"/>
              <w:rPr>
                <w:rFonts w:ascii="Arial" w:hAnsi="Arial" w:cs="Arial"/>
                <w:b/>
                <w:sz w:val="16"/>
                <w:szCs w:val="16"/>
              </w:rPr>
            </w:pPr>
            <w:r w:rsidRPr="00F204BE">
              <w:rPr>
                <w:rFonts w:ascii="Arial" w:hAnsi="Arial" w:cs="Arial"/>
                <w:b/>
                <w:sz w:val="16"/>
                <w:szCs w:val="16"/>
              </w:rPr>
              <w:t>2026</w:t>
            </w:r>
          </w:p>
        </w:tc>
        <w:tc>
          <w:tcPr>
            <w:tcW w:w="851" w:type="dxa"/>
          </w:tcPr>
          <w:p w:rsidR="00F204BE" w:rsidRPr="00F204BE" w:rsidRDefault="00F204BE" w:rsidP="00F02AAD">
            <w:pPr>
              <w:widowControl w:val="0"/>
              <w:spacing w:before="103"/>
              <w:ind w:right="-102"/>
              <w:rPr>
                <w:rFonts w:ascii="Arial" w:hAnsi="Arial" w:cs="Arial"/>
                <w:b/>
                <w:sz w:val="16"/>
                <w:szCs w:val="16"/>
              </w:rPr>
            </w:pPr>
            <w:r w:rsidRPr="00F204BE">
              <w:rPr>
                <w:rFonts w:ascii="Arial" w:hAnsi="Arial" w:cs="Arial"/>
                <w:b/>
                <w:sz w:val="16"/>
                <w:szCs w:val="16"/>
              </w:rPr>
              <w:t>Celkem</w:t>
            </w:r>
          </w:p>
        </w:tc>
      </w:tr>
      <w:tr w:rsidR="00F204BE" w:rsidRPr="00F204BE" w:rsidTr="004C574C">
        <w:trPr>
          <w:trHeight w:val="448"/>
        </w:trPr>
        <w:tc>
          <w:tcPr>
            <w:tcW w:w="1019" w:type="dxa"/>
          </w:tcPr>
          <w:p w:rsidR="00F204BE" w:rsidRPr="00F204BE" w:rsidRDefault="00F204BE" w:rsidP="00F02AAD">
            <w:pPr>
              <w:widowControl w:val="0"/>
              <w:spacing w:before="40"/>
              <w:ind w:right="109"/>
              <w:rPr>
                <w:rFonts w:ascii="Arial" w:hAnsi="Arial" w:cs="Arial"/>
                <w:b/>
                <w:sz w:val="16"/>
                <w:szCs w:val="16"/>
              </w:rPr>
            </w:pPr>
            <w:r w:rsidRPr="00F204BE">
              <w:rPr>
                <w:rFonts w:ascii="Arial" w:hAnsi="Arial" w:cs="Arial"/>
                <w:b/>
                <w:sz w:val="16"/>
                <w:szCs w:val="16"/>
              </w:rPr>
              <w:t>Celkové výdaje</w:t>
            </w:r>
          </w:p>
        </w:tc>
        <w:tc>
          <w:tcPr>
            <w:tcW w:w="567" w:type="dxa"/>
          </w:tcPr>
          <w:p w:rsidR="00F204BE" w:rsidRPr="00F204BE" w:rsidRDefault="00F204BE" w:rsidP="00F02AAD">
            <w:pPr>
              <w:widowControl w:val="0"/>
              <w:ind w:right="-107"/>
              <w:rPr>
                <w:rFonts w:ascii="Arial" w:hAnsi="Arial" w:cs="Arial"/>
                <w:b/>
                <w:sz w:val="16"/>
                <w:szCs w:val="16"/>
              </w:rPr>
            </w:pPr>
          </w:p>
          <w:p w:rsidR="00F204BE" w:rsidRPr="00F204BE" w:rsidRDefault="00F204BE" w:rsidP="00F02AAD">
            <w:pPr>
              <w:widowControl w:val="0"/>
              <w:ind w:right="-107"/>
              <w:rPr>
                <w:rFonts w:ascii="Arial" w:hAnsi="Arial" w:cs="Arial"/>
                <w:sz w:val="16"/>
                <w:szCs w:val="16"/>
              </w:rPr>
            </w:pPr>
            <w:r w:rsidRPr="00F204BE">
              <w:rPr>
                <w:rFonts w:ascii="Arial" w:hAnsi="Arial" w:cs="Arial"/>
                <w:sz w:val="16"/>
                <w:szCs w:val="16"/>
              </w:rPr>
              <w:t>387,6</w:t>
            </w:r>
          </w:p>
        </w:tc>
        <w:tc>
          <w:tcPr>
            <w:tcW w:w="567" w:type="dxa"/>
          </w:tcPr>
          <w:p w:rsidR="00F204BE" w:rsidRPr="00F204BE" w:rsidRDefault="00F204BE" w:rsidP="00F02AAD">
            <w:pPr>
              <w:widowControl w:val="0"/>
              <w:ind w:right="-111"/>
              <w:rPr>
                <w:rFonts w:ascii="Arial" w:hAnsi="Arial" w:cs="Arial"/>
                <w:b/>
                <w:sz w:val="16"/>
                <w:szCs w:val="16"/>
              </w:rPr>
            </w:pPr>
          </w:p>
          <w:p w:rsidR="00F204BE" w:rsidRPr="00F204BE" w:rsidRDefault="00F204BE" w:rsidP="00F02AAD">
            <w:pPr>
              <w:widowControl w:val="0"/>
              <w:ind w:right="-111"/>
              <w:rPr>
                <w:rFonts w:ascii="Arial" w:hAnsi="Arial" w:cs="Arial"/>
                <w:sz w:val="16"/>
                <w:szCs w:val="16"/>
              </w:rPr>
            </w:pPr>
            <w:r w:rsidRPr="00F204BE">
              <w:rPr>
                <w:rFonts w:ascii="Arial" w:hAnsi="Arial" w:cs="Arial"/>
                <w:sz w:val="16"/>
                <w:szCs w:val="16"/>
              </w:rPr>
              <w:t>452,2</w:t>
            </w:r>
          </w:p>
        </w:tc>
        <w:tc>
          <w:tcPr>
            <w:tcW w:w="708" w:type="dxa"/>
          </w:tcPr>
          <w:p w:rsidR="00F204BE" w:rsidRPr="00F204BE" w:rsidRDefault="00F204BE" w:rsidP="00F02AAD">
            <w:pPr>
              <w:widowControl w:val="0"/>
              <w:spacing w:before="8"/>
              <w:jc w:val="center"/>
              <w:rPr>
                <w:rFonts w:ascii="Arial" w:hAnsi="Arial" w:cs="Arial"/>
                <w:b/>
                <w:sz w:val="16"/>
                <w:szCs w:val="16"/>
              </w:rPr>
            </w:pPr>
          </w:p>
          <w:p w:rsidR="00F204BE" w:rsidRPr="00F204BE" w:rsidRDefault="00F204BE" w:rsidP="00F02AAD">
            <w:pPr>
              <w:widowControl w:val="0"/>
              <w:ind w:right="-106"/>
              <w:rPr>
                <w:rFonts w:ascii="Arial" w:hAnsi="Arial" w:cs="Arial"/>
                <w:sz w:val="16"/>
                <w:szCs w:val="16"/>
              </w:rPr>
            </w:pPr>
            <w:r w:rsidRPr="00F204BE">
              <w:rPr>
                <w:rFonts w:ascii="Arial" w:hAnsi="Arial" w:cs="Arial"/>
                <w:sz w:val="16"/>
                <w:szCs w:val="16"/>
              </w:rPr>
              <w:t>1 615,0</w:t>
            </w:r>
          </w:p>
        </w:tc>
        <w:tc>
          <w:tcPr>
            <w:tcW w:w="709" w:type="dxa"/>
          </w:tcPr>
          <w:p w:rsidR="00F204BE" w:rsidRPr="00F204BE" w:rsidRDefault="00F204BE" w:rsidP="00F02AAD">
            <w:pPr>
              <w:widowControl w:val="0"/>
              <w:spacing w:before="8"/>
              <w:jc w:val="center"/>
              <w:rPr>
                <w:rFonts w:ascii="Arial" w:hAnsi="Arial" w:cs="Arial"/>
                <w:b/>
                <w:sz w:val="16"/>
                <w:szCs w:val="16"/>
              </w:rPr>
            </w:pPr>
          </w:p>
          <w:p w:rsidR="00F204BE" w:rsidRPr="00F204BE" w:rsidRDefault="00F204BE" w:rsidP="00F02AAD">
            <w:pPr>
              <w:widowControl w:val="0"/>
              <w:ind w:right="-113"/>
              <w:rPr>
                <w:rFonts w:ascii="Arial" w:hAnsi="Arial" w:cs="Arial"/>
                <w:sz w:val="16"/>
                <w:szCs w:val="16"/>
              </w:rPr>
            </w:pPr>
            <w:r w:rsidRPr="00F204BE">
              <w:rPr>
                <w:rFonts w:ascii="Arial" w:hAnsi="Arial" w:cs="Arial"/>
                <w:sz w:val="16"/>
                <w:szCs w:val="16"/>
              </w:rPr>
              <w:t>2 148,0</w:t>
            </w:r>
          </w:p>
        </w:tc>
        <w:tc>
          <w:tcPr>
            <w:tcW w:w="709" w:type="dxa"/>
            <w:tcBorders>
              <w:right w:val="single" w:sz="6" w:space="0" w:color="CCCCCC"/>
            </w:tcBorders>
            <w:shd w:val="clear" w:color="auto" w:fill="auto"/>
          </w:tcPr>
          <w:p w:rsidR="00F204BE" w:rsidRPr="00F204BE" w:rsidRDefault="00F204BE" w:rsidP="00F02AAD">
            <w:pPr>
              <w:widowControl w:val="0"/>
              <w:ind w:right="-108"/>
              <w:rPr>
                <w:rFonts w:ascii="Arial" w:hAnsi="Arial" w:cs="Arial"/>
                <w:sz w:val="16"/>
                <w:szCs w:val="16"/>
              </w:rPr>
            </w:pPr>
          </w:p>
          <w:p w:rsidR="00F204BE" w:rsidRPr="00F204BE" w:rsidRDefault="00F204BE" w:rsidP="00F02AAD">
            <w:pPr>
              <w:widowControl w:val="0"/>
              <w:ind w:right="-108"/>
              <w:rPr>
                <w:rFonts w:ascii="Arial" w:hAnsi="Arial" w:cs="Arial"/>
                <w:sz w:val="16"/>
                <w:szCs w:val="16"/>
              </w:rPr>
            </w:pPr>
            <w:r w:rsidRPr="00F204BE">
              <w:rPr>
                <w:rFonts w:ascii="Arial" w:hAnsi="Arial" w:cs="Arial"/>
                <w:sz w:val="16"/>
                <w:szCs w:val="16"/>
              </w:rPr>
              <w:t>2 566,7</w:t>
            </w:r>
          </w:p>
        </w:tc>
        <w:tc>
          <w:tcPr>
            <w:tcW w:w="709" w:type="dxa"/>
            <w:shd w:val="clear" w:color="auto" w:fill="auto"/>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04"/>
              <w:rPr>
                <w:rFonts w:ascii="Arial" w:hAnsi="Arial" w:cs="Arial"/>
                <w:sz w:val="16"/>
                <w:szCs w:val="16"/>
              </w:rPr>
            </w:pPr>
            <w:r w:rsidRPr="00F204BE">
              <w:rPr>
                <w:rFonts w:ascii="Arial" w:hAnsi="Arial" w:cs="Arial"/>
                <w:sz w:val="16"/>
                <w:szCs w:val="16"/>
              </w:rPr>
              <w:t>2 191,7</w:t>
            </w:r>
          </w:p>
        </w:tc>
        <w:tc>
          <w:tcPr>
            <w:tcW w:w="709" w:type="dxa"/>
            <w:shd w:val="clear" w:color="auto" w:fill="auto"/>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10"/>
              <w:rPr>
                <w:rFonts w:ascii="Arial" w:hAnsi="Arial" w:cs="Arial"/>
                <w:sz w:val="16"/>
                <w:szCs w:val="16"/>
              </w:rPr>
            </w:pPr>
            <w:r w:rsidRPr="00F204BE">
              <w:rPr>
                <w:rFonts w:ascii="Arial" w:hAnsi="Arial" w:cs="Arial"/>
                <w:sz w:val="16"/>
                <w:szCs w:val="16"/>
              </w:rPr>
              <w:t>1 246,9</w:t>
            </w:r>
          </w:p>
        </w:tc>
        <w:tc>
          <w:tcPr>
            <w:tcW w:w="566" w:type="dxa"/>
            <w:tcBorders>
              <w:right w:val="single" w:sz="6" w:space="0" w:color="CCCCCC"/>
            </w:tcBorders>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14"/>
              <w:rPr>
                <w:rFonts w:ascii="Arial" w:hAnsi="Arial" w:cs="Arial"/>
                <w:sz w:val="16"/>
                <w:szCs w:val="16"/>
              </w:rPr>
            </w:pPr>
            <w:r w:rsidRPr="00F204BE">
              <w:rPr>
                <w:rFonts w:ascii="Arial" w:hAnsi="Arial" w:cs="Arial"/>
                <w:sz w:val="16"/>
                <w:szCs w:val="16"/>
              </w:rPr>
              <w:t>458,8</w:t>
            </w:r>
          </w:p>
        </w:tc>
        <w:tc>
          <w:tcPr>
            <w:tcW w:w="567" w:type="dxa"/>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05"/>
              <w:rPr>
                <w:rFonts w:ascii="Arial" w:hAnsi="Arial" w:cs="Arial"/>
                <w:sz w:val="16"/>
                <w:szCs w:val="16"/>
              </w:rPr>
            </w:pPr>
            <w:r w:rsidRPr="00F204BE">
              <w:rPr>
                <w:rFonts w:ascii="Arial" w:hAnsi="Arial" w:cs="Arial"/>
                <w:sz w:val="16"/>
                <w:szCs w:val="16"/>
              </w:rPr>
              <w:t>364,7</w:t>
            </w:r>
          </w:p>
        </w:tc>
        <w:tc>
          <w:tcPr>
            <w:tcW w:w="567" w:type="dxa"/>
            <w:tcBorders>
              <w:right w:val="single" w:sz="6" w:space="0" w:color="CCCCCC"/>
            </w:tcBorders>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08"/>
              <w:rPr>
                <w:rFonts w:ascii="Arial" w:hAnsi="Arial" w:cs="Arial"/>
                <w:sz w:val="16"/>
                <w:szCs w:val="16"/>
              </w:rPr>
            </w:pPr>
            <w:r w:rsidRPr="00F204BE">
              <w:rPr>
                <w:rFonts w:ascii="Arial" w:hAnsi="Arial" w:cs="Arial"/>
                <w:sz w:val="16"/>
                <w:szCs w:val="16"/>
              </w:rPr>
              <w:t>211,8</w:t>
            </w:r>
          </w:p>
        </w:tc>
        <w:tc>
          <w:tcPr>
            <w:tcW w:w="567" w:type="dxa"/>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12"/>
              <w:rPr>
                <w:rFonts w:ascii="Arial" w:hAnsi="Arial" w:cs="Arial"/>
                <w:sz w:val="16"/>
                <w:szCs w:val="16"/>
              </w:rPr>
            </w:pPr>
            <w:r w:rsidRPr="00F204BE">
              <w:rPr>
                <w:rFonts w:ascii="Arial" w:hAnsi="Arial" w:cs="Arial"/>
                <w:sz w:val="16"/>
                <w:szCs w:val="16"/>
              </w:rPr>
              <w:t>211,8</w:t>
            </w:r>
          </w:p>
        </w:tc>
        <w:tc>
          <w:tcPr>
            <w:tcW w:w="567" w:type="dxa"/>
          </w:tcPr>
          <w:p w:rsidR="00F204BE" w:rsidRPr="00F204BE" w:rsidRDefault="00F204BE" w:rsidP="00F02AAD">
            <w:pPr>
              <w:widowControl w:val="0"/>
              <w:jc w:val="center"/>
              <w:rPr>
                <w:rFonts w:ascii="Arial" w:hAnsi="Arial" w:cs="Arial"/>
                <w:sz w:val="16"/>
                <w:szCs w:val="16"/>
              </w:rPr>
            </w:pPr>
          </w:p>
          <w:p w:rsidR="00F204BE" w:rsidRPr="00F204BE" w:rsidRDefault="00F204BE" w:rsidP="004C574C">
            <w:pPr>
              <w:widowControl w:val="0"/>
              <w:rPr>
                <w:rFonts w:ascii="Arial" w:hAnsi="Arial" w:cs="Arial"/>
                <w:sz w:val="16"/>
                <w:szCs w:val="16"/>
              </w:rPr>
            </w:pPr>
            <w:r w:rsidRPr="00F204BE">
              <w:rPr>
                <w:rFonts w:ascii="Arial" w:hAnsi="Arial" w:cs="Arial"/>
                <w:sz w:val="16"/>
                <w:szCs w:val="16"/>
              </w:rPr>
              <w:t>88,2</w:t>
            </w:r>
          </w:p>
        </w:tc>
        <w:tc>
          <w:tcPr>
            <w:tcW w:w="851" w:type="dxa"/>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rPr>
                <w:rFonts w:ascii="Arial" w:hAnsi="Arial" w:cs="Arial"/>
                <w:sz w:val="16"/>
                <w:szCs w:val="16"/>
              </w:rPr>
            </w:pPr>
            <w:r w:rsidRPr="00F204BE">
              <w:rPr>
                <w:rFonts w:ascii="Arial" w:hAnsi="Arial" w:cs="Arial"/>
                <w:sz w:val="16"/>
                <w:szCs w:val="16"/>
              </w:rPr>
              <w:t>11 943,3</w:t>
            </w:r>
          </w:p>
        </w:tc>
      </w:tr>
      <w:tr w:rsidR="00F204BE" w:rsidRPr="00F204BE" w:rsidTr="004C574C">
        <w:trPr>
          <w:trHeight w:val="280"/>
        </w:trPr>
        <w:tc>
          <w:tcPr>
            <w:tcW w:w="1019" w:type="dxa"/>
          </w:tcPr>
          <w:p w:rsidR="00F204BE" w:rsidRPr="00F204BE" w:rsidRDefault="00F204BE" w:rsidP="00F02AAD">
            <w:pPr>
              <w:widowControl w:val="0"/>
              <w:spacing w:before="40"/>
              <w:ind w:right="49"/>
              <w:rPr>
                <w:rFonts w:ascii="Arial" w:hAnsi="Arial" w:cs="Arial"/>
                <w:b/>
                <w:sz w:val="16"/>
                <w:szCs w:val="16"/>
              </w:rPr>
            </w:pPr>
            <w:r w:rsidRPr="00F204BE">
              <w:rPr>
                <w:rFonts w:ascii="Arial" w:hAnsi="Arial" w:cs="Arial"/>
                <w:b/>
                <w:sz w:val="16"/>
                <w:szCs w:val="16"/>
              </w:rPr>
              <w:t>Výdaje státního rozpočtu</w:t>
            </w:r>
          </w:p>
        </w:tc>
        <w:tc>
          <w:tcPr>
            <w:tcW w:w="567" w:type="dxa"/>
          </w:tcPr>
          <w:p w:rsidR="004C574C" w:rsidRDefault="004C574C" w:rsidP="004C574C">
            <w:pPr>
              <w:widowControl w:val="0"/>
              <w:spacing w:before="1"/>
              <w:ind w:right="-108"/>
              <w:rPr>
                <w:rFonts w:ascii="Arial" w:hAnsi="Arial" w:cs="Arial"/>
                <w:sz w:val="16"/>
                <w:szCs w:val="16"/>
              </w:rPr>
            </w:pPr>
          </w:p>
          <w:p w:rsidR="00F204BE" w:rsidRPr="00F204BE" w:rsidRDefault="00F204BE" w:rsidP="004C574C">
            <w:pPr>
              <w:widowControl w:val="0"/>
              <w:spacing w:before="1" w:after="120"/>
              <w:ind w:right="-108"/>
              <w:rPr>
                <w:rFonts w:ascii="Arial" w:hAnsi="Arial" w:cs="Arial"/>
                <w:sz w:val="16"/>
                <w:szCs w:val="16"/>
              </w:rPr>
            </w:pPr>
            <w:r w:rsidRPr="00F204BE">
              <w:rPr>
                <w:rFonts w:ascii="Arial" w:hAnsi="Arial" w:cs="Arial"/>
                <w:sz w:val="16"/>
                <w:szCs w:val="16"/>
              </w:rPr>
              <w:t>232,6</w:t>
            </w:r>
          </w:p>
        </w:tc>
        <w:tc>
          <w:tcPr>
            <w:tcW w:w="567" w:type="dxa"/>
          </w:tcPr>
          <w:p w:rsidR="00F204BE" w:rsidRPr="00F204BE" w:rsidRDefault="00F204BE" w:rsidP="004C574C">
            <w:pPr>
              <w:widowControl w:val="0"/>
              <w:spacing w:before="1"/>
              <w:ind w:right="-113"/>
              <w:rPr>
                <w:rFonts w:ascii="Arial" w:hAnsi="Arial" w:cs="Arial"/>
                <w:b/>
                <w:sz w:val="16"/>
                <w:szCs w:val="16"/>
              </w:rPr>
            </w:pPr>
          </w:p>
          <w:p w:rsidR="00F204BE" w:rsidRPr="00F204BE" w:rsidRDefault="00F204BE" w:rsidP="004C574C">
            <w:pPr>
              <w:widowControl w:val="0"/>
              <w:spacing w:before="1"/>
              <w:ind w:right="-113"/>
              <w:rPr>
                <w:rFonts w:ascii="Arial" w:hAnsi="Arial" w:cs="Arial"/>
                <w:sz w:val="16"/>
                <w:szCs w:val="16"/>
              </w:rPr>
            </w:pPr>
            <w:r w:rsidRPr="00F204BE">
              <w:rPr>
                <w:rFonts w:ascii="Arial" w:hAnsi="Arial" w:cs="Arial"/>
                <w:sz w:val="16"/>
                <w:szCs w:val="16"/>
              </w:rPr>
              <w:t>271,3</w:t>
            </w:r>
          </w:p>
        </w:tc>
        <w:tc>
          <w:tcPr>
            <w:tcW w:w="708" w:type="dxa"/>
          </w:tcPr>
          <w:p w:rsidR="00F204BE" w:rsidRPr="00F204BE" w:rsidRDefault="00F204BE" w:rsidP="00F02AAD">
            <w:pPr>
              <w:widowControl w:val="0"/>
              <w:spacing w:before="4"/>
              <w:jc w:val="center"/>
              <w:rPr>
                <w:rFonts w:ascii="Arial" w:hAnsi="Arial" w:cs="Arial"/>
                <w:b/>
                <w:sz w:val="16"/>
                <w:szCs w:val="16"/>
              </w:rPr>
            </w:pPr>
          </w:p>
          <w:p w:rsidR="00F204BE" w:rsidRPr="00F204BE" w:rsidRDefault="00F204BE" w:rsidP="00F02AAD">
            <w:pPr>
              <w:widowControl w:val="0"/>
              <w:spacing w:before="1"/>
              <w:ind w:right="21"/>
              <w:jc w:val="center"/>
              <w:rPr>
                <w:rFonts w:ascii="Arial" w:hAnsi="Arial" w:cs="Arial"/>
                <w:sz w:val="16"/>
                <w:szCs w:val="16"/>
              </w:rPr>
            </w:pPr>
            <w:r w:rsidRPr="00F204BE">
              <w:rPr>
                <w:rFonts w:ascii="Arial" w:hAnsi="Arial" w:cs="Arial"/>
                <w:sz w:val="16"/>
                <w:szCs w:val="16"/>
              </w:rPr>
              <w:t>969,0</w:t>
            </w:r>
          </w:p>
        </w:tc>
        <w:tc>
          <w:tcPr>
            <w:tcW w:w="709" w:type="dxa"/>
          </w:tcPr>
          <w:p w:rsidR="00F204BE" w:rsidRPr="00F204BE" w:rsidRDefault="00F204BE" w:rsidP="00F02AAD">
            <w:pPr>
              <w:widowControl w:val="0"/>
              <w:spacing w:before="1"/>
              <w:ind w:right="-113"/>
              <w:rPr>
                <w:rFonts w:ascii="Arial" w:hAnsi="Arial" w:cs="Arial"/>
                <w:b/>
                <w:sz w:val="16"/>
                <w:szCs w:val="16"/>
              </w:rPr>
            </w:pPr>
          </w:p>
          <w:p w:rsidR="00F204BE" w:rsidRPr="00F204BE" w:rsidRDefault="00F204BE" w:rsidP="00F02AAD">
            <w:pPr>
              <w:widowControl w:val="0"/>
              <w:spacing w:before="1"/>
              <w:ind w:right="-113"/>
              <w:rPr>
                <w:rFonts w:ascii="Arial" w:hAnsi="Arial" w:cs="Arial"/>
                <w:sz w:val="16"/>
                <w:szCs w:val="16"/>
              </w:rPr>
            </w:pPr>
            <w:r w:rsidRPr="00F204BE">
              <w:rPr>
                <w:rFonts w:ascii="Arial" w:hAnsi="Arial" w:cs="Arial"/>
                <w:sz w:val="16"/>
                <w:szCs w:val="16"/>
              </w:rPr>
              <w:t>1 288,8</w:t>
            </w:r>
          </w:p>
        </w:tc>
        <w:tc>
          <w:tcPr>
            <w:tcW w:w="709" w:type="dxa"/>
            <w:tcBorders>
              <w:right w:val="single" w:sz="6" w:space="0" w:color="CCCCCC"/>
            </w:tcBorders>
            <w:shd w:val="clear" w:color="auto" w:fill="auto"/>
          </w:tcPr>
          <w:p w:rsidR="00F204BE" w:rsidRPr="00F204BE" w:rsidRDefault="00F204BE" w:rsidP="00F02AAD">
            <w:pPr>
              <w:widowControl w:val="0"/>
              <w:ind w:right="-108"/>
              <w:rPr>
                <w:rFonts w:ascii="Arial" w:hAnsi="Arial" w:cs="Arial"/>
                <w:sz w:val="16"/>
                <w:szCs w:val="16"/>
              </w:rPr>
            </w:pPr>
          </w:p>
          <w:p w:rsidR="00F204BE" w:rsidRPr="00F204BE" w:rsidRDefault="00F204BE" w:rsidP="00F02AAD">
            <w:pPr>
              <w:widowControl w:val="0"/>
              <w:ind w:right="-108"/>
              <w:rPr>
                <w:rFonts w:ascii="Arial" w:hAnsi="Arial" w:cs="Arial"/>
                <w:sz w:val="16"/>
                <w:szCs w:val="16"/>
              </w:rPr>
            </w:pPr>
            <w:r w:rsidRPr="00F204BE">
              <w:rPr>
                <w:rFonts w:ascii="Arial" w:hAnsi="Arial" w:cs="Arial"/>
                <w:sz w:val="16"/>
                <w:szCs w:val="16"/>
              </w:rPr>
              <w:t>1 540,0</w:t>
            </w:r>
          </w:p>
        </w:tc>
        <w:tc>
          <w:tcPr>
            <w:tcW w:w="709" w:type="dxa"/>
            <w:shd w:val="clear" w:color="auto" w:fill="auto"/>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04"/>
              <w:rPr>
                <w:rFonts w:ascii="Arial" w:hAnsi="Arial" w:cs="Arial"/>
                <w:sz w:val="16"/>
                <w:szCs w:val="16"/>
              </w:rPr>
            </w:pPr>
            <w:r w:rsidRPr="00F204BE">
              <w:rPr>
                <w:rFonts w:ascii="Arial" w:hAnsi="Arial" w:cs="Arial"/>
                <w:sz w:val="16"/>
                <w:szCs w:val="16"/>
              </w:rPr>
              <w:t>1 315,0</w:t>
            </w:r>
          </w:p>
        </w:tc>
        <w:tc>
          <w:tcPr>
            <w:tcW w:w="709" w:type="dxa"/>
            <w:shd w:val="clear" w:color="auto" w:fill="auto"/>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10"/>
              <w:rPr>
                <w:rFonts w:ascii="Arial" w:hAnsi="Arial" w:cs="Arial"/>
                <w:sz w:val="16"/>
                <w:szCs w:val="16"/>
              </w:rPr>
            </w:pPr>
            <w:r w:rsidRPr="00F204BE">
              <w:rPr>
                <w:rFonts w:ascii="Arial" w:hAnsi="Arial" w:cs="Arial"/>
                <w:sz w:val="16"/>
                <w:szCs w:val="16"/>
              </w:rPr>
              <w:t>1 010,0</w:t>
            </w:r>
          </w:p>
        </w:tc>
        <w:tc>
          <w:tcPr>
            <w:tcW w:w="566" w:type="dxa"/>
            <w:tcBorders>
              <w:right w:val="single" w:sz="6" w:space="0" w:color="CCCCCC"/>
            </w:tcBorders>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14"/>
              <w:rPr>
                <w:rFonts w:ascii="Arial" w:hAnsi="Arial" w:cs="Arial"/>
                <w:sz w:val="16"/>
                <w:szCs w:val="16"/>
              </w:rPr>
            </w:pPr>
            <w:r w:rsidRPr="00F204BE">
              <w:rPr>
                <w:rFonts w:ascii="Arial" w:hAnsi="Arial" w:cs="Arial"/>
                <w:sz w:val="16"/>
                <w:szCs w:val="16"/>
              </w:rPr>
              <w:t>390,0</w:t>
            </w:r>
          </w:p>
        </w:tc>
        <w:tc>
          <w:tcPr>
            <w:tcW w:w="567" w:type="dxa"/>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05"/>
              <w:rPr>
                <w:rFonts w:ascii="Arial" w:hAnsi="Arial" w:cs="Arial"/>
                <w:sz w:val="16"/>
                <w:szCs w:val="16"/>
              </w:rPr>
            </w:pPr>
            <w:r w:rsidRPr="00F204BE">
              <w:rPr>
                <w:rFonts w:ascii="Arial" w:hAnsi="Arial" w:cs="Arial"/>
                <w:sz w:val="16"/>
                <w:szCs w:val="16"/>
              </w:rPr>
              <w:t>310,0</w:t>
            </w:r>
          </w:p>
        </w:tc>
        <w:tc>
          <w:tcPr>
            <w:tcW w:w="567" w:type="dxa"/>
            <w:tcBorders>
              <w:right w:val="single" w:sz="6" w:space="0" w:color="CCCCCC"/>
            </w:tcBorders>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08"/>
              <w:rPr>
                <w:rFonts w:ascii="Arial" w:hAnsi="Arial" w:cs="Arial"/>
                <w:sz w:val="16"/>
                <w:szCs w:val="16"/>
              </w:rPr>
            </w:pPr>
            <w:r w:rsidRPr="00F204BE">
              <w:rPr>
                <w:rFonts w:ascii="Arial" w:hAnsi="Arial" w:cs="Arial"/>
                <w:sz w:val="16"/>
                <w:szCs w:val="16"/>
              </w:rPr>
              <w:t>180,0</w:t>
            </w:r>
          </w:p>
        </w:tc>
        <w:tc>
          <w:tcPr>
            <w:tcW w:w="567" w:type="dxa"/>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12"/>
              <w:rPr>
                <w:rFonts w:ascii="Arial" w:hAnsi="Arial" w:cs="Arial"/>
                <w:sz w:val="16"/>
                <w:szCs w:val="16"/>
              </w:rPr>
            </w:pPr>
            <w:r w:rsidRPr="00F204BE">
              <w:rPr>
                <w:rFonts w:ascii="Arial" w:hAnsi="Arial" w:cs="Arial"/>
                <w:sz w:val="16"/>
                <w:szCs w:val="16"/>
              </w:rPr>
              <w:t>180,0</w:t>
            </w:r>
          </w:p>
        </w:tc>
        <w:tc>
          <w:tcPr>
            <w:tcW w:w="567" w:type="dxa"/>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jc w:val="center"/>
              <w:rPr>
                <w:rFonts w:ascii="Arial" w:hAnsi="Arial" w:cs="Arial"/>
                <w:sz w:val="16"/>
                <w:szCs w:val="16"/>
              </w:rPr>
            </w:pPr>
            <w:r w:rsidRPr="00F204BE">
              <w:rPr>
                <w:rFonts w:ascii="Arial" w:hAnsi="Arial" w:cs="Arial"/>
                <w:sz w:val="16"/>
                <w:szCs w:val="16"/>
              </w:rPr>
              <w:t>75,0</w:t>
            </w:r>
          </w:p>
        </w:tc>
        <w:tc>
          <w:tcPr>
            <w:tcW w:w="851" w:type="dxa"/>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jc w:val="center"/>
              <w:rPr>
                <w:rFonts w:ascii="Arial" w:hAnsi="Arial" w:cs="Arial"/>
                <w:sz w:val="16"/>
                <w:szCs w:val="16"/>
              </w:rPr>
            </w:pPr>
            <w:r w:rsidRPr="00F204BE">
              <w:rPr>
                <w:rFonts w:ascii="Arial" w:hAnsi="Arial" w:cs="Arial"/>
                <w:sz w:val="16"/>
                <w:szCs w:val="16"/>
              </w:rPr>
              <w:t>7 761,7</w:t>
            </w:r>
          </w:p>
        </w:tc>
      </w:tr>
      <w:tr w:rsidR="00F204BE" w:rsidRPr="00F204BE" w:rsidTr="004C574C">
        <w:trPr>
          <w:trHeight w:val="549"/>
        </w:trPr>
        <w:tc>
          <w:tcPr>
            <w:tcW w:w="1019" w:type="dxa"/>
          </w:tcPr>
          <w:p w:rsidR="00F204BE" w:rsidRPr="00F204BE" w:rsidRDefault="00F204BE" w:rsidP="00F02AAD">
            <w:pPr>
              <w:widowControl w:val="0"/>
              <w:spacing w:before="40"/>
              <w:ind w:right="-104"/>
              <w:rPr>
                <w:rFonts w:ascii="Arial" w:hAnsi="Arial" w:cs="Arial"/>
                <w:b/>
                <w:sz w:val="16"/>
                <w:szCs w:val="16"/>
              </w:rPr>
            </w:pPr>
            <w:r w:rsidRPr="00F204BE">
              <w:rPr>
                <w:rFonts w:ascii="Arial" w:hAnsi="Arial" w:cs="Arial"/>
                <w:b/>
                <w:sz w:val="16"/>
                <w:szCs w:val="16"/>
              </w:rPr>
              <w:t>Neveřejné zdroje</w:t>
            </w:r>
          </w:p>
        </w:tc>
        <w:tc>
          <w:tcPr>
            <w:tcW w:w="567" w:type="dxa"/>
          </w:tcPr>
          <w:p w:rsidR="00F204BE" w:rsidRPr="00F204BE" w:rsidRDefault="00F204BE" w:rsidP="00F02AAD">
            <w:pPr>
              <w:widowControl w:val="0"/>
              <w:ind w:right="-107"/>
              <w:rPr>
                <w:rFonts w:ascii="Arial" w:hAnsi="Arial" w:cs="Arial"/>
                <w:b/>
                <w:sz w:val="16"/>
                <w:szCs w:val="16"/>
              </w:rPr>
            </w:pPr>
          </w:p>
          <w:p w:rsidR="00F204BE" w:rsidRPr="00F204BE" w:rsidRDefault="00F204BE" w:rsidP="00F02AAD">
            <w:pPr>
              <w:widowControl w:val="0"/>
              <w:ind w:right="-107"/>
              <w:rPr>
                <w:rFonts w:ascii="Arial" w:hAnsi="Arial" w:cs="Arial"/>
                <w:sz w:val="16"/>
                <w:szCs w:val="16"/>
              </w:rPr>
            </w:pPr>
            <w:r w:rsidRPr="00F204BE">
              <w:rPr>
                <w:rFonts w:ascii="Arial" w:hAnsi="Arial" w:cs="Arial"/>
                <w:sz w:val="16"/>
                <w:szCs w:val="16"/>
              </w:rPr>
              <w:t>155,0</w:t>
            </w:r>
          </w:p>
        </w:tc>
        <w:tc>
          <w:tcPr>
            <w:tcW w:w="567" w:type="dxa"/>
          </w:tcPr>
          <w:p w:rsidR="00F204BE" w:rsidRPr="00F204BE" w:rsidRDefault="00F204BE" w:rsidP="00F02AAD">
            <w:pPr>
              <w:widowControl w:val="0"/>
              <w:ind w:right="-111"/>
              <w:rPr>
                <w:rFonts w:ascii="Arial" w:hAnsi="Arial" w:cs="Arial"/>
                <w:b/>
                <w:sz w:val="16"/>
                <w:szCs w:val="16"/>
              </w:rPr>
            </w:pPr>
          </w:p>
          <w:p w:rsidR="00F204BE" w:rsidRPr="00F204BE" w:rsidRDefault="00F204BE" w:rsidP="00F02AAD">
            <w:pPr>
              <w:widowControl w:val="0"/>
              <w:ind w:right="-111"/>
              <w:rPr>
                <w:rFonts w:ascii="Arial" w:hAnsi="Arial" w:cs="Arial"/>
                <w:sz w:val="16"/>
                <w:szCs w:val="16"/>
              </w:rPr>
            </w:pPr>
            <w:r w:rsidRPr="00F204BE">
              <w:rPr>
                <w:rFonts w:ascii="Arial" w:hAnsi="Arial" w:cs="Arial"/>
                <w:sz w:val="16"/>
                <w:szCs w:val="16"/>
              </w:rPr>
              <w:t>180,9</w:t>
            </w:r>
          </w:p>
        </w:tc>
        <w:tc>
          <w:tcPr>
            <w:tcW w:w="708" w:type="dxa"/>
          </w:tcPr>
          <w:p w:rsidR="00F204BE" w:rsidRPr="00F204BE" w:rsidRDefault="00F204BE" w:rsidP="00F02AAD">
            <w:pPr>
              <w:widowControl w:val="0"/>
              <w:spacing w:before="8"/>
              <w:jc w:val="center"/>
              <w:rPr>
                <w:rFonts w:ascii="Arial" w:hAnsi="Arial" w:cs="Arial"/>
                <w:b/>
                <w:sz w:val="16"/>
                <w:szCs w:val="16"/>
              </w:rPr>
            </w:pPr>
          </w:p>
          <w:p w:rsidR="00F204BE" w:rsidRPr="00F204BE" w:rsidRDefault="00F204BE" w:rsidP="00F02AAD">
            <w:pPr>
              <w:widowControl w:val="0"/>
              <w:ind w:right="21"/>
              <w:jc w:val="center"/>
              <w:rPr>
                <w:rFonts w:ascii="Arial" w:hAnsi="Arial" w:cs="Arial"/>
                <w:sz w:val="16"/>
                <w:szCs w:val="16"/>
              </w:rPr>
            </w:pPr>
            <w:r w:rsidRPr="00F204BE">
              <w:rPr>
                <w:rFonts w:ascii="Arial" w:hAnsi="Arial" w:cs="Arial"/>
                <w:sz w:val="16"/>
                <w:szCs w:val="16"/>
              </w:rPr>
              <w:t>646,0</w:t>
            </w:r>
          </w:p>
        </w:tc>
        <w:tc>
          <w:tcPr>
            <w:tcW w:w="709" w:type="dxa"/>
          </w:tcPr>
          <w:p w:rsidR="00F204BE" w:rsidRPr="00F204BE" w:rsidRDefault="00F204BE" w:rsidP="00F02AAD">
            <w:pPr>
              <w:widowControl w:val="0"/>
              <w:spacing w:before="8"/>
              <w:jc w:val="center"/>
              <w:rPr>
                <w:rFonts w:ascii="Arial" w:hAnsi="Arial" w:cs="Arial"/>
                <w:b/>
                <w:sz w:val="16"/>
                <w:szCs w:val="16"/>
              </w:rPr>
            </w:pPr>
          </w:p>
          <w:p w:rsidR="00F204BE" w:rsidRPr="00F204BE" w:rsidRDefault="00F204BE" w:rsidP="00F02AAD">
            <w:pPr>
              <w:widowControl w:val="0"/>
              <w:rPr>
                <w:rFonts w:ascii="Arial" w:hAnsi="Arial" w:cs="Arial"/>
                <w:sz w:val="16"/>
                <w:szCs w:val="16"/>
              </w:rPr>
            </w:pPr>
            <w:r w:rsidRPr="00F204BE">
              <w:rPr>
                <w:rFonts w:ascii="Arial" w:hAnsi="Arial" w:cs="Arial"/>
                <w:sz w:val="16"/>
                <w:szCs w:val="16"/>
              </w:rPr>
              <w:t xml:space="preserve"> 859,2</w:t>
            </w:r>
          </w:p>
        </w:tc>
        <w:tc>
          <w:tcPr>
            <w:tcW w:w="709" w:type="dxa"/>
            <w:tcBorders>
              <w:right w:val="single" w:sz="6" w:space="0" w:color="CCCCCC"/>
            </w:tcBorders>
            <w:shd w:val="clear" w:color="auto" w:fill="auto"/>
          </w:tcPr>
          <w:p w:rsidR="00F204BE" w:rsidRPr="00F204BE" w:rsidRDefault="00F204BE" w:rsidP="00F02AAD">
            <w:pPr>
              <w:widowControl w:val="0"/>
              <w:ind w:right="-108"/>
              <w:rPr>
                <w:rFonts w:ascii="Arial" w:hAnsi="Arial" w:cs="Arial"/>
                <w:sz w:val="16"/>
                <w:szCs w:val="16"/>
              </w:rPr>
            </w:pPr>
          </w:p>
          <w:p w:rsidR="00F204BE" w:rsidRPr="00F204BE" w:rsidRDefault="00F204BE" w:rsidP="00F02AAD">
            <w:pPr>
              <w:widowControl w:val="0"/>
              <w:ind w:right="-108"/>
              <w:rPr>
                <w:rFonts w:ascii="Arial" w:hAnsi="Arial" w:cs="Arial"/>
                <w:sz w:val="16"/>
                <w:szCs w:val="16"/>
              </w:rPr>
            </w:pPr>
            <w:r w:rsidRPr="00F204BE">
              <w:rPr>
                <w:rFonts w:ascii="Arial" w:hAnsi="Arial" w:cs="Arial"/>
                <w:sz w:val="16"/>
                <w:szCs w:val="16"/>
              </w:rPr>
              <w:t>1 026,7</w:t>
            </w:r>
          </w:p>
        </w:tc>
        <w:tc>
          <w:tcPr>
            <w:tcW w:w="709" w:type="dxa"/>
            <w:shd w:val="clear" w:color="auto" w:fill="auto"/>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jc w:val="center"/>
              <w:rPr>
                <w:rFonts w:ascii="Arial" w:hAnsi="Arial" w:cs="Arial"/>
                <w:sz w:val="16"/>
                <w:szCs w:val="16"/>
              </w:rPr>
            </w:pPr>
            <w:r w:rsidRPr="00F204BE">
              <w:rPr>
                <w:rFonts w:ascii="Arial" w:hAnsi="Arial" w:cs="Arial"/>
                <w:sz w:val="16"/>
                <w:szCs w:val="16"/>
              </w:rPr>
              <w:t>876,7</w:t>
            </w:r>
          </w:p>
        </w:tc>
        <w:tc>
          <w:tcPr>
            <w:tcW w:w="709" w:type="dxa"/>
            <w:shd w:val="clear" w:color="auto" w:fill="auto"/>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jc w:val="center"/>
              <w:rPr>
                <w:rFonts w:ascii="Arial" w:hAnsi="Arial" w:cs="Arial"/>
                <w:sz w:val="16"/>
                <w:szCs w:val="16"/>
              </w:rPr>
            </w:pPr>
            <w:r w:rsidRPr="00F204BE">
              <w:rPr>
                <w:rFonts w:ascii="Arial" w:hAnsi="Arial" w:cs="Arial"/>
                <w:sz w:val="16"/>
                <w:szCs w:val="16"/>
              </w:rPr>
              <w:t>236,9</w:t>
            </w:r>
          </w:p>
        </w:tc>
        <w:tc>
          <w:tcPr>
            <w:tcW w:w="566" w:type="dxa"/>
            <w:tcBorders>
              <w:right w:val="single" w:sz="6" w:space="0" w:color="CCCCCC"/>
            </w:tcBorders>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14"/>
              <w:rPr>
                <w:rFonts w:ascii="Arial" w:hAnsi="Arial" w:cs="Arial"/>
                <w:sz w:val="16"/>
                <w:szCs w:val="16"/>
              </w:rPr>
            </w:pPr>
            <w:r w:rsidRPr="00F204BE">
              <w:rPr>
                <w:rFonts w:ascii="Arial" w:hAnsi="Arial" w:cs="Arial"/>
                <w:sz w:val="16"/>
                <w:szCs w:val="16"/>
              </w:rPr>
              <w:t>68,8</w:t>
            </w:r>
          </w:p>
        </w:tc>
        <w:tc>
          <w:tcPr>
            <w:tcW w:w="567" w:type="dxa"/>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05"/>
              <w:rPr>
                <w:rFonts w:ascii="Arial" w:hAnsi="Arial" w:cs="Arial"/>
                <w:sz w:val="16"/>
                <w:szCs w:val="16"/>
              </w:rPr>
            </w:pPr>
            <w:r w:rsidRPr="00F204BE">
              <w:rPr>
                <w:rFonts w:ascii="Arial" w:hAnsi="Arial" w:cs="Arial"/>
                <w:sz w:val="16"/>
                <w:szCs w:val="16"/>
              </w:rPr>
              <w:t>54,7</w:t>
            </w:r>
          </w:p>
        </w:tc>
        <w:tc>
          <w:tcPr>
            <w:tcW w:w="567" w:type="dxa"/>
            <w:tcBorders>
              <w:right w:val="single" w:sz="6" w:space="0" w:color="CCCCCC"/>
            </w:tcBorders>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ind w:right="-108"/>
              <w:rPr>
                <w:rFonts w:ascii="Arial" w:hAnsi="Arial" w:cs="Arial"/>
                <w:sz w:val="16"/>
                <w:szCs w:val="16"/>
              </w:rPr>
            </w:pPr>
            <w:r w:rsidRPr="00F204BE">
              <w:rPr>
                <w:rFonts w:ascii="Arial" w:hAnsi="Arial" w:cs="Arial"/>
                <w:sz w:val="16"/>
                <w:szCs w:val="16"/>
              </w:rPr>
              <w:t>31,8</w:t>
            </w:r>
          </w:p>
        </w:tc>
        <w:tc>
          <w:tcPr>
            <w:tcW w:w="567" w:type="dxa"/>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rPr>
                <w:rFonts w:ascii="Arial" w:hAnsi="Arial" w:cs="Arial"/>
                <w:sz w:val="16"/>
                <w:szCs w:val="16"/>
              </w:rPr>
            </w:pPr>
            <w:r w:rsidRPr="00F204BE">
              <w:rPr>
                <w:rFonts w:ascii="Arial" w:hAnsi="Arial" w:cs="Arial"/>
                <w:sz w:val="16"/>
                <w:szCs w:val="16"/>
              </w:rPr>
              <w:t>31,8</w:t>
            </w:r>
          </w:p>
        </w:tc>
        <w:tc>
          <w:tcPr>
            <w:tcW w:w="567" w:type="dxa"/>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jc w:val="center"/>
              <w:rPr>
                <w:rFonts w:ascii="Arial" w:hAnsi="Arial" w:cs="Arial"/>
                <w:sz w:val="16"/>
                <w:szCs w:val="16"/>
              </w:rPr>
            </w:pPr>
            <w:r w:rsidRPr="00F204BE">
              <w:rPr>
                <w:rFonts w:ascii="Arial" w:hAnsi="Arial" w:cs="Arial"/>
                <w:sz w:val="16"/>
                <w:szCs w:val="16"/>
              </w:rPr>
              <w:t>13,2</w:t>
            </w:r>
          </w:p>
        </w:tc>
        <w:tc>
          <w:tcPr>
            <w:tcW w:w="851" w:type="dxa"/>
          </w:tcPr>
          <w:p w:rsidR="00F204BE" w:rsidRPr="00F204BE" w:rsidRDefault="00F204BE" w:rsidP="00F02AAD">
            <w:pPr>
              <w:widowControl w:val="0"/>
              <w:jc w:val="center"/>
              <w:rPr>
                <w:rFonts w:ascii="Arial" w:hAnsi="Arial" w:cs="Arial"/>
                <w:sz w:val="16"/>
                <w:szCs w:val="16"/>
              </w:rPr>
            </w:pPr>
          </w:p>
          <w:p w:rsidR="00F204BE" w:rsidRPr="00F204BE" w:rsidRDefault="00F204BE" w:rsidP="00F02AAD">
            <w:pPr>
              <w:widowControl w:val="0"/>
              <w:jc w:val="center"/>
              <w:rPr>
                <w:rFonts w:ascii="Arial" w:hAnsi="Arial" w:cs="Arial"/>
                <w:sz w:val="16"/>
                <w:szCs w:val="16"/>
              </w:rPr>
            </w:pPr>
            <w:r w:rsidRPr="00F204BE">
              <w:rPr>
                <w:rFonts w:ascii="Arial" w:hAnsi="Arial" w:cs="Arial"/>
                <w:sz w:val="16"/>
                <w:szCs w:val="16"/>
              </w:rPr>
              <w:t>4 181,6</w:t>
            </w:r>
          </w:p>
        </w:tc>
      </w:tr>
    </w:tbl>
    <w:p w:rsidR="00F204BE" w:rsidRPr="00F204BE" w:rsidRDefault="00F204BE" w:rsidP="00F01371">
      <w:pPr>
        <w:pStyle w:val="Odstavecseseznamem"/>
        <w:widowControl w:val="0"/>
        <w:spacing w:before="3"/>
        <w:ind w:left="862"/>
        <w:rPr>
          <w:rFonts w:ascii="Arial" w:hAnsi="Arial" w:cs="Arial"/>
          <w:b/>
          <w:sz w:val="16"/>
          <w:szCs w:val="16"/>
        </w:rPr>
      </w:pPr>
    </w:p>
    <w:p w:rsidR="006D7EC5" w:rsidRDefault="006D7EC5" w:rsidP="00A61E76">
      <w:pPr>
        <w:spacing w:after="120"/>
        <w:jc w:val="both"/>
        <w:rPr>
          <w:rFonts w:ascii="Arial" w:hAnsi="Arial" w:cs="Arial"/>
          <w:bCs/>
        </w:rPr>
      </w:pPr>
      <w:r w:rsidRPr="006D7EC5">
        <w:rPr>
          <w:rFonts w:ascii="Arial" w:hAnsi="Arial" w:cs="Arial"/>
          <w:bCs/>
        </w:rPr>
        <w:t>Další změny programu nejsou navrhovány.</w:t>
      </w:r>
    </w:p>
    <w:p w:rsidR="006D7EC5" w:rsidRDefault="005A1348" w:rsidP="002C6B32">
      <w:pPr>
        <w:pStyle w:val="Zkladntext2"/>
        <w:keepNext/>
        <w:numPr>
          <w:ilvl w:val="0"/>
          <w:numId w:val="2"/>
        </w:numPr>
        <w:spacing w:after="120"/>
        <w:ind w:hanging="862"/>
        <w:jc w:val="both"/>
        <w:rPr>
          <w:rFonts w:ascii="Arial" w:hAnsi="Arial" w:cs="Arial"/>
          <w:b/>
          <w:color w:val="0070C0"/>
          <w:szCs w:val="24"/>
        </w:rPr>
      </w:pPr>
      <w:r>
        <w:rPr>
          <w:rFonts w:ascii="Arial" w:hAnsi="Arial" w:cs="Arial"/>
          <w:b/>
          <w:color w:val="0070C0"/>
          <w:szCs w:val="24"/>
        </w:rPr>
        <w:t>P</w:t>
      </w:r>
      <w:r w:rsidR="002C6B32" w:rsidRPr="002C6B32">
        <w:rPr>
          <w:rFonts w:ascii="Arial" w:hAnsi="Arial" w:cs="Arial"/>
          <w:b/>
          <w:color w:val="0070C0"/>
          <w:szCs w:val="24"/>
        </w:rPr>
        <w:t>řipomínky Rady</w:t>
      </w:r>
    </w:p>
    <w:p w:rsidR="005A1348" w:rsidRDefault="005A1348" w:rsidP="005A1348">
      <w:pPr>
        <w:pStyle w:val="Zkladntext2"/>
        <w:keepNext/>
        <w:spacing w:after="120"/>
        <w:jc w:val="both"/>
        <w:rPr>
          <w:rFonts w:ascii="Arial" w:hAnsi="Arial" w:cs="Arial"/>
          <w:b/>
          <w:color w:val="0070C0"/>
          <w:szCs w:val="24"/>
        </w:rPr>
      </w:pPr>
      <w:r>
        <w:rPr>
          <w:rFonts w:ascii="Arial" w:hAnsi="Arial" w:cs="Arial"/>
          <w:b/>
          <w:color w:val="0070C0"/>
          <w:szCs w:val="24"/>
        </w:rPr>
        <w:t>Zásadní připomínky:</w:t>
      </w:r>
    </w:p>
    <w:p w:rsidR="001C1683" w:rsidRDefault="001C1683" w:rsidP="00A01CDB">
      <w:pPr>
        <w:pStyle w:val="Odstavecseseznamem"/>
        <w:numPr>
          <w:ilvl w:val="0"/>
          <w:numId w:val="27"/>
        </w:numPr>
        <w:spacing w:after="120"/>
        <w:ind w:left="714" w:hanging="357"/>
        <w:contextualSpacing w:val="0"/>
        <w:jc w:val="both"/>
        <w:rPr>
          <w:rFonts w:ascii="Arial" w:hAnsi="Arial" w:cs="Arial"/>
          <w:bCs/>
          <w:sz w:val="24"/>
          <w:szCs w:val="24"/>
        </w:rPr>
      </w:pPr>
      <w:r w:rsidRPr="001C1683">
        <w:rPr>
          <w:rFonts w:ascii="Arial" w:hAnsi="Arial" w:cs="Arial"/>
          <w:bCs/>
          <w:sz w:val="24"/>
          <w:szCs w:val="24"/>
        </w:rPr>
        <w:t xml:space="preserve">V návrhu na změnu programu chybí (mimo uvedení počtu projektů přihlášených do jednotlivých veřejných soutěží) vyhodnocení </w:t>
      </w:r>
      <w:r>
        <w:rPr>
          <w:rFonts w:ascii="Arial" w:hAnsi="Arial" w:cs="Arial"/>
          <w:bCs/>
          <w:sz w:val="24"/>
          <w:szCs w:val="24"/>
        </w:rPr>
        <w:t xml:space="preserve">jeho dosavadního průběhu. </w:t>
      </w:r>
    </w:p>
    <w:p w:rsidR="001C1683" w:rsidRDefault="001C1683" w:rsidP="001C1683">
      <w:pPr>
        <w:pStyle w:val="Odstavecseseznamem"/>
        <w:spacing w:after="120"/>
        <w:ind w:left="714"/>
        <w:contextualSpacing w:val="0"/>
        <w:jc w:val="both"/>
        <w:rPr>
          <w:rFonts w:ascii="Arial" w:hAnsi="Arial" w:cs="Arial"/>
          <w:bCs/>
          <w:sz w:val="24"/>
          <w:szCs w:val="24"/>
        </w:rPr>
      </w:pPr>
      <w:r>
        <w:rPr>
          <w:rFonts w:ascii="Arial" w:hAnsi="Arial" w:cs="Arial"/>
          <w:bCs/>
          <w:sz w:val="24"/>
          <w:szCs w:val="24"/>
        </w:rPr>
        <w:t>Vzhledem k délce trvání programu (2015 – 2026) Rada žádá o doplnění průběžného vyhodnocení.</w:t>
      </w:r>
    </w:p>
    <w:p w:rsidR="001C1683" w:rsidRDefault="001C1683" w:rsidP="001C1683">
      <w:pPr>
        <w:pStyle w:val="Zkladntext2"/>
        <w:keepNext/>
        <w:numPr>
          <w:ilvl w:val="0"/>
          <w:numId w:val="27"/>
        </w:numPr>
        <w:tabs>
          <w:tab w:val="left" w:pos="993"/>
        </w:tabs>
        <w:spacing w:after="120"/>
        <w:jc w:val="both"/>
        <w:rPr>
          <w:rFonts w:ascii="Arial" w:hAnsi="Arial" w:cs="Arial"/>
          <w:szCs w:val="24"/>
        </w:rPr>
      </w:pPr>
      <w:r>
        <w:rPr>
          <w:rFonts w:ascii="Arial" w:hAnsi="Arial" w:cs="Arial"/>
          <w:szCs w:val="24"/>
        </w:rPr>
        <w:t xml:space="preserve">Rada upozorňuje, že navrhované roční alokace na program EPSILON v letech 2020-2022 překračují výdaje schválené usnesením vlády ze dne 16. září 2019 č. 652. </w:t>
      </w:r>
      <w:r w:rsidR="004A312E">
        <w:rPr>
          <w:rFonts w:ascii="Arial" w:hAnsi="Arial" w:cs="Arial"/>
          <w:szCs w:val="24"/>
        </w:rPr>
        <w:t>Z</w:t>
      </w:r>
      <w:r>
        <w:rPr>
          <w:rFonts w:ascii="Arial" w:hAnsi="Arial" w:cs="Arial"/>
          <w:szCs w:val="24"/>
        </w:rPr>
        <w:t>měna programu není dle usnesení vlády č. 652/2019 rozpočtově kryta ve střednědobém výhledu. Schválení této změny programu vládou neznamená automaticky nárok na navýšení rozpočtu TA ČR. Nelze očekávat navýšení střednědobých výhledů TA ČR nad</w:t>
      </w:r>
      <w:r w:rsidR="004A312E">
        <w:rPr>
          <w:rFonts w:ascii="Arial" w:hAnsi="Arial" w:cs="Arial"/>
          <w:szCs w:val="24"/>
        </w:rPr>
        <w:t xml:space="preserve"> rámec schválených výhledů do roku </w:t>
      </w:r>
      <w:r>
        <w:rPr>
          <w:rFonts w:ascii="Arial" w:hAnsi="Arial" w:cs="Arial"/>
          <w:szCs w:val="24"/>
        </w:rPr>
        <w:t>2022.</w:t>
      </w:r>
    </w:p>
    <w:p w:rsidR="00D3793F" w:rsidRDefault="004A312E" w:rsidP="004A312E">
      <w:pPr>
        <w:pStyle w:val="Zkladntext2"/>
        <w:keepNext/>
        <w:tabs>
          <w:tab w:val="left" w:pos="993"/>
        </w:tabs>
        <w:spacing w:after="120"/>
        <w:ind w:left="720"/>
        <w:jc w:val="both"/>
        <w:rPr>
          <w:rFonts w:ascii="Arial" w:hAnsi="Arial" w:cs="Arial"/>
          <w:szCs w:val="24"/>
        </w:rPr>
      </w:pPr>
      <w:r>
        <w:rPr>
          <w:rFonts w:ascii="Arial" w:hAnsi="Arial" w:cs="Arial"/>
          <w:szCs w:val="24"/>
        </w:rPr>
        <w:t>Z tohoto důvodu Rada požaduje, aby v předkládací zprávě TA ČR uvedla zdroj finančních prostředků na financování změny programu, resp. napsala přesně, z</w:t>
      </w:r>
      <w:r w:rsidR="00D3793F">
        <w:rPr>
          <w:rFonts w:ascii="Arial" w:hAnsi="Arial" w:cs="Arial"/>
          <w:szCs w:val="24"/>
        </w:rPr>
        <w:t xml:space="preserve"> kterého programu </w:t>
      </w:r>
      <w:proofErr w:type="spellStart"/>
      <w:r w:rsidR="00D3793F">
        <w:rPr>
          <w:rFonts w:ascii="Arial" w:hAnsi="Arial" w:cs="Arial"/>
          <w:szCs w:val="24"/>
        </w:rPr>
        <w:t>TAČRu</w:t>
      </w:r>
      <w:proofErr w:type="spellEnd"/>
      <w:r w:rsidR="00D3793F">
        <w:rPr>
          <w:rFonts w:ascii="Arial" w:hAnsi="Arial" w:cs="Arial"/>
          <w:szCs w:val="24"/>
        </w:rPr>
        <w:t xml:space="preserve"> budou finanční prostředky převedeny tak, aby v této souvislosti nebyl uplatňován žádný nadpožadavek.</w:t>
      </w:r>
    </w:p>
    <w:p w:rsidR="007B59B5" w:rsidRPr="002370AA" w:rsidRDefault="00AF0A3B" w:rsidP="002370AA">
      <w:pPr>
        <w:pStyle w:val="Zkladntext2"/>
        <w:keepNext/>
        <w:numPr>
          <w:ilvl w:val="0"/>
          <w:numId w:val="27"/>
        </w:numPr>
        <w:tabs>
          <w:tab w:val="left" w:pos="993"/>
        </w:tabs>
        <w:spacing w:after="120"/>
        <w:jc w:val="both"/>
        <w:rPr>
          <w:rFonts w:ascii="Arial" w:hAnsi="Arial" w:cs="Arial"/>
          <w:szCs w:val="24"/>
        </w:rPr>
      </w:pPr>
      <w:r>
        <w:rPr>
          <w:rFonts w:ascii="Arial" w:hAnsi="Arial" w:cs="Arial"/>
        </w:rPr>
        <w:t xml:space="preserve">Připravované výzvy </w:t>
      </w:r>
      <w:r w:rsidRPr="00F26213">
        <w:rPr>
          <w:rFonts w:ascii="Arial" w:hAnsi="Arial" w:cs="Arial"/>
        </w:rPr>
        <w:t xml:space="preserve">ERA-NET </w:t>
      </w:r>
      <w:proofErr w:type="spellStart"/>
      <w:r w:rsidRPr="00F26213">
        <w:rPr>
          <w:rFonts w:ascii="Arial" w:hAnsi="Arial" w:cs="Arial"/>
        </w:rPr>
        <w:t>Cofund</w:t>
      </w:r>
      <w:proofErr w:type="spellEnd"/>
      <w:r>
        <w:rPr>
          <w:rFonts w:ascii="Arial" w:hAnsi="Arial" w:cs="Arial"/>
        </w:rPr>
        <w:t xml:space="preserve"> určené pro biodiverzitu by bylo vhodnější </w:t>
      </w:r>
      <w:r w:rsidR="007B59B5">
        <w:rPr>
          <w:rFonts w:ascii="Arial" w:hAnsi="Arial" w:cs="Arial"/>
        </w:rPr>
        <w:t>zajistit programem MŽP Prostředí pro život</w:t>
      </w:r>
      <w:r w:rsidR="00784C90">
        <w:rPr>
          <w:rFonts w:ascii="Arial" w:hAnsi="Arial" w:cs="Arial"/>
        </w:rPr>
        <w:t>. Tento krok je však nutné projednat přímo s MŽP, protože uvedený program</w:t>
      </w:r>
      <w:r w:rsidR="007B59B5">
        <w:rPr>
          <w:rFonts w:ascii="Arial" w:hAnsi="Arial" w:cs="Arial"/>
        </w:rPr>
        <w:t xml:space="preserve"> je TAČR </w:t>
      </w:r>
      <w:r w:rsidR="00784C90">
        <w:rPr>
          <w:rFonts w:ascii="Arial" w:hAnsi="Arial" w:cs="Arial"/>
        </w:rPr>
        <w:t xml:space="preserve">pouze </w:t>
      </w:r>
      <w:r w:rsidR="007B59B5">
        <w:rPr>
          <w:rFonts w:ascii="Arial" w:hAnsi="Arial" w:cs="Arial"/>
        </w:rPr>
        <w:t xml:space="preserve">administrován. </w:t>
      </w:r>
      <w:r w:rsidR="00784C90">
        <w:rPr>
          <w:rFonts w:ascii="Arial" w:hAnsi="Arial" w:cs="Arial"/>
        </w:rPr>
        <w:t>P</w:t>
      </w:r>
      <w:r w:rsidR="007B59B5">
        <w:rPr>
          <w:rFonts w:ascii="Arial" w:hAnsi="Arial" w:cs="Arial"/>
        </w:rPr>
        <w:t xml:space="preserve">rogram </w:t>
      </w:r>
      <w:r w:rsidR="002370AA">
        <w:rPr>
          <w:rFonts w:ascii="Arial" w:hAnsi="Arial" w:cs="Arial"/>
        </w:rPr>
        <w:t>EPSILON</w:t>
      </w:r>
      <w:r w:rsidR="00784C90">
        <w:rPr>
          <w:rFonts w:ascii="Arial" w:hAnsi="Arial" w:cs="Arial"/>
        </w:rPr>
        <w:t xml:space="preserve"> by nemusel být prodloužen a nezvyšoval by se </w:t>
      </w:r>
      <w:r w:rsidR="007B59B5" w:rsidRPr="002370AA">
        <w:rPr>
          <w:rFonts w:ascii="Arial" w:hAnsi="Arial" w:cs="Arial"/>
        </w:rPr>
        <w:t>u něj podíl státní podpory na financování</w:t>
      </w:r>
      <w:r w:rsidR="002370AA">
        <w:rPr>
          <w:rFonts w:ascii="Arial" w:hAnsi="Arial" w:cs="Arial"/>
        </w:rPr>
        <w:t>.</w:t>
      </w:r>
      <w:r w:rsidR="002370AA" w:rsidRPr="002370AA">
        <w:rPr>
          <w:rFonts w:ascii="Arial" w:hAnsi="Arial" w:cs="Arial"/>
        </w:rPr>
        <w:t xml:space="preserve"> </w:t>
      </w:r>
      <w:r w:rsidR="002370AA">
        <w:rPr>
          <w:rFonts w:ascii="Arial" w:hAnsi="Arial" w:cs="Arial"/>
        </w:rPr>
        <w:t xml:space="preserve">Rada </w:t>
      </w:r>
      <w:r w:rsidR="002370AA" w:rsidRPr="002370AA">
        <w:rPr>
          <w:rFonts w:ascii="Arial" w:hAnsi="Arial" w:cs="Arial"/>
        </w:rPr>
        <w:t xml:space="preserve">žádá o </w:t>
      </w:r>
      <w:r w:rsidR="002370AA">
        <w:rPr>
          <w:rFonts w:ascii="Arial" w:hAnsi="Arial" w:cs="Arial"/>
        </w:rPr>
        <w:t xml:space="preserve">odůvodnění </w:t>
      </w:r>
      <w:r w:rsidR="002370AA" w:rsidRPr="002370AA">
        <w:rPr>
          <w:rFonts w:ascii="Arial" w:hAnsi="Arial" w:cs="Arial"/>
        </w:rPr>
        <w:t>sn</w:t>
      </w:r>
      <w:r w:rsidR="002370AA">
        <w:rPr>
          <w:rFonts w:ascii="Arial" w:hAnsi="Arial" w:cs="Arial"/>
        </w:rPr>
        <w:t>í</w:t>
      </w:r>
      <w:r w:rsidR="002370AA" w:rsidRPr="002370AA">
        <w:rPr>
          <w:rFonts w:ascii="Arial" w:hAnsi="Arial" w:cs="Arial"/>
        </w:rPr>
        <w:t>ž</w:t>
      </w:r>
      <w:r w:rsidR="002370AA">
        <w:rPr>
          <w:rFonts w:ascii="Arial" w:hAnsi="Arial" w:cs="Arial"/>
        </w:rPr>
        <w:t>ení</w:t>
      </w:r>
      <w:r w:rsidR="002370AA" w:rsidRPr="002370AA">
        <w:rPr>
          <w:rFonts w:ascii="Arial" w:hAnsi="Arial" w:cs="Arial"/>
        </w:rPr>
        <w:t xml:space="preserve"> podpor</w:t>
      </w:r>
      <w:r w:rsidR="002370AA">
        <w:rPr>
          <w:rFonts w:ascii="Arial" w:hAnsi="Arial" w:cs="Arial"/>
        </w:rPr>
        <w:t>y</w:t>
      </w:r>
      <w:r w:rsidR="002370AA" w:rsidRPr="002370AA">
        <w:rPr>
          <w:rFonts w:ascii="Arial" w:hAnsi="Arial" w:cs="Arial"/>
        </w:rPr>
        <w:t xml:space="preserve"> českých podniků ve spolupráci s výzkumnými organizacemi o cca 300 mil. Kč.</w:t>
      </w:r>
      <w:r w:rsidR="002370AA">
        <w:rPr>
          <w:rFonts w:ascii="Arial" w:hAnsi="Arial" w:cs="Arial"/>
        </w:rPr>
        <w:t xml:space="preserve"> Toto odůvodnění musí být doplněno do</w:t>
      </w:r>
      <w:r w:rsidR="002370AA" w:rsidRPr="002370AA">
        <w:rPr>
          <w:rFonts w:ascii="Arial" w:hAnsi="Arial" w:cs="Arial"/>
        </w:rPr>
        <w:t xml:space="preserve"> předkládací zprávy</w:t>
      </w:r>
      <w:r w:rsidR="002370AA">
        <w:rPr>
          <w:rFonts w:ascii="Arial" w:hAnsi="Arial" w:cs="Arial"/>
        </w:rPr>
        <w:t>.</w:t>
      </w:r>
      <w:r w:rsidR="007B59B5" w:rsidRPr="002370AA">
        <w:rPr>
          <w:rFonts w:ascii="Arial" w:hAnsi="Arial" w:cs="Arial"/>
        </w:rPr>
        <w:t xml:space="preserve"> </w:t>
      </w:r>
    </w:p>
    <w:p w:rsidR="005A1348" w:rsidRPr="005A1348" w:rsidRDefault="005A1348" w:rsidP="005A1348">
      <w:pPr>
        <w:pStyle w:val="Zkladntext2"/>
        <w:keepNext/>
        <w:spacing w:after="120"/>
        <w:jc w:val="both"/>
        <w:rPr>
          <w:rFonts w:ascii="Arial" w:hAnsi="Arial" w:cs="Arial"/>
          <w:b/>
          <w:color w:val="0070C0"/>
          <w:szCs w:val="24"/>
        </w:rPr>
      </w:pPr>
      <w:r w:rsidRPr="005A1348">
        <w:rPr>
          <w:rFonts w:ascii="Arial" w:hAnsi="Arial" w:cs="Arial"/>
          <w:b/>
          <w:color w:val="0070C0"/>
          <w:szCs w:val="24"/>
        </w:rPr>
        <w:t>Doporučující připomínka</w:t>
      </w:r>
      <w:r>
        <w:rPr>
          <w:rFonts w:ascii="Arial" w:hAnsi="Arial" w:cs="Arial"/>
          <w:b/>
          <w:color w:val="0070C0"/>
          <w:szCs w:val="24"/>
        </w:rPr>
        <w:t>:</w:t>
      </w:r>
    </w:p>
    <w:p w:rsidR="001C1683" w:rsidRPr="001C1683" w:rsidRDefault="001C1683" w:rsidP="001C1683">
      <w:pPr>
        <w:pStyle w:val="Zkladntext2"/>
        <w:keepNext/>
        <w:numPr>
          <w:ilvl w:val="0"/>
          <w:numId w:val="27"/>
        </w:numPr>
        <w:tabs>
          <w:tab w:val="left" w:pos="993"/>
        </w:tabs>
        <w:spacing w:after="120"/>
        <w:jc w:val="both"/>
        <w:rPr>
          <w:rFonts w:ascii="Arial" w:hAnsi="Arial" w:cs="Arial"/>
          <w:szCs w:val="24"/>
        </w:rPr>
      </w:pPr>
      <w:r w:rsidRPr="001C1683">
        <w:rPr>
          <w:rFonts w:ascii="Arial" w:hAnsi="Arial" w:cs="Arial"/>
          <w:szCs w:val="24"/>
        </w:rPr>
        <w:t xml:space="preserve">Rada </w:t>
      </w:r>
      <w:r w:rsidR="005A1348">
        <w:rPr>
          <w:rFonts w:ascii="Arial" w:hAnsi="Arial" w:cs="Arial"/>
          <w:szCs w:val="24"/>
        </w:rPr>
        <w:t>doporučuje</w:t>
      </w:r>
      <w:r w:rsidRPr="001C1683">
        <w:rPr>
          <w:rFonts w:ascii="Arial" w:hAnsi="Arial" w:cs="Arial"/>
          <w:szCs w:val="24"/>
        </w:rPr>
        <w:t xml:space="preserve">, aby TA ČR návazně na výsledky průběžného hodnocení programu a přípravu </w:t>
      </w:r>
      <w:r w:rsidRPr="001C1683">
        <w:rPr>
          <w:rFonts w:ascii="Arial" w:hAnsi="Arial" w:cs="Arial"/>
          <w:color w:val="111111"/>
          <w:szCs w:val="24"/>
        </w:rPr>
        <w:t xml:space="preserve">nového rámcového programu  </w:t>
      </w:r>
      <w:proofErr w:type="spellStart"/>
      <w:r w:rsidRPr="001C1683">
        <w:rPr>
          <w:rFonts w:ascii="Arial" w:hAnsi="Arial" w:cs="Arial"/>
          <w:color w:val="111111"/>
          <w:szCs w:val="24"/>
        </w:rPr>
        <w:t>Horizon</w:t>
      </w:r>
      <w:proofErr w:type="spellEnd"/>
      <w:r w:rsidRPr="001C1683">
        <w:rPr>
          <w:rFonts w:ascii="Arial" w:hAnsi="Arial" w:cs="Arial"/>
          <w:color w:val="111111"/>
          <w:szCs w:val="24"/>
        </w:rPr>
        <w:t xml:space="preserve"> </w:t>
      </w:r>
      <w:proofErr w:type="spellStart"/>
      <w:r w:rsidR="00FB6959" w:rsidRPr="001C1683">
        <w:rPr>
          <w:rFonts w:ascii="Arial" w:hAnsi="Arial" w:cs="Arial"/>
          <w:color w:val="111111"/>
          <w:szCs w:val="24"/>
        </w:rPr>
        <w:t>Europe</w:t>
      </w:r>
      <w:proofErr w:type="spellEnd"/>
      <w:r w:rsidR="00FB6959" w:rsidRPr="001C1683">
        <w:rPr>
          <w:rFonts w:ascii="Arial" w:hAnsi="Arial" w:cs="Arial"/>
          <w:color w:val="111111"/>
          <w:szCs w:val="24"/>
        </w:rPr>
        <w:t xml:space="preserve"> </w:t>
      </w:r>
      <w:r w:rsidR="00FB6959">
        <w:rPr>
          <w:rFonts w:ascii="Arial" w:hAnsi="Arial" w:cs="Arial"/>
          <w:color w:val="111111"/>
          <w:szCs w:val="24"/>
        </w:rPr>
        <w:t>navrhla</w:t>
      </w:r>
      <w:r>
        <w:rPr>
          <w:rFonts w:ascii="Arial" w:hAnsi="Arial" w:cs="Arial"/>
          <w:color w:val="111111"/>
          <w:szCs w:val="24"/>
        </w:rPr>
        <w:t xml:space="preserve"> po dohodě s Ministerstvem školství, mládeže a tělovýchovy jako gestorem </w:t>
      </w:r>
      <w:r>
        <w:rPr>
          <w:rFonts w:ascii="Arial" w:hAnsi="Arial" w:cs="Arial"/>
          <w:color w:val="111111"/>
          <w:szCs w:val="24"/>
        </w:rPr>
        <w:lastRenderedPageBreak/>
        <w:t>mezinárodní spolupráce ve výzkumu, vývoji a inovacích</w:t>
      </w:r>
      <w:r w:rsidR="00D95CBA">
        <w:rPr>
          <w:rFonts w:ascii="Arial" w:hAnsi="Arial" w:cs="Arial"/>
          <w:color w:val="111111"/>
          <w:szCs w:val="24"/>
        </w:rPr>
        <w:t xml:space="preserve"> </w:t>
      </w:r>
      <w:r w:rsidR="00D95CBA" w:rsidRPr="00D3793F">
        <w:rPr>
          <w:rFonts w:ascii="Arial" w:hAnsi="Arial" w:cs="Arial"/>
          <w:color w:val="111111"/>
          <w:szCs w:val="24"/>
        </w:rPr>
        <w:t>obdobnou aktivitu</w:t>
      </w:r>
      <w:r w:rsidR="00D95CBA">
        <w:rPr>
          <w:rFonts w:ascii="Arial" w:hAnsi="Arial" w:cs="Arial"/>
          <w:color w:val="111111"/>
          <w:szCs w:val="24"/>
        </w:rPr>
        <w:t xml:space="preserve"> na další programovací období.</w:t>
      </w:r>
      <w:r w:rsidRPr="001C1683">
        <w:rPr>
          <w:rFonts w:ascii="Arial" w:hAnsi="Arial" w:cs="Arial"/>
          <w:color w:val="111111"/>
          <w:szCs w:val="24"/>
        </w:rPr>
        <w:t> </w:t>
      </w:r>
    </w:p>
    <w:p w:rsidR="00126E48" w:rsidRPr="00A01CDB" w:rsidRDefault="0057279E" w:rsidP="00A01CDB">
      <w:pPr>
        <w:pStyle w:val="Zkladntext2"/>
        <w:keepNext/>
        <w:numPr>
          <w:ilvl w:val="0"/>
          <w:numId w:val="2"/>
        </w:numPr>
        <w:spacing w:after="120"/>
        <w:ind w:hanging="862"/>
        <w:jc w:val="both"/>
        <w:rPr>
          <w:rFonts w:ascii="Arial" w:hAnsi="Arial" w:cs="Arial"/>
          <w:b/>
          <w:color w:val="0070C0"/>
          <w:szCs w:val="24"/>
        </w:rPr>
      </w:pPr>
      <w:r w:rsidRPr="00A01CDB">
        <w:rPr>
          <w:rFonts w:ascii="Arial" w:hAnsi="Arial" w:cs="Arial"/>
          <w:b/>
          <w:color w:val="0070C0"/>
          <w:szCs w:val="24"/>
        </w:rPr>
        <w:t>Závěr</w:t>
      </w:r>
    </w:p>
    <w:p w:rsidR="00221205" w:rsidRPr="005A1348" w:rsidRDefault="00221205" w:rsidP="005A1348">
      <w:pPr>
        <w:pStyle w:val="Zkladntext2"/>
        <w:keepNext/>
        <w:spacing w:after="120"/>
        <w:jc w:val="both"/>
        <w:rPr>
          <w:rFonts w:ascii="Arial" w:hAnsi="Arial" w:cs="Arial"/>
          <w:b/>
          <w:color w:val="0070C0"/>
          <w:szCs w:val="24"/>
        </w:rPr>
      </w:pPr>
      <w:r w:rsidRPr="005A1348">
        <w:rPr>
          <w:rFonts w:ascii="Arial" w:hAnsi="Arial" w:cs="Arial"/>
          <w:b/>
          <w:color w:val="0070C0"/>
          <w:szCs w:val="24"/>
        </w:rPr>
        <w:t xml:space="preserve">Rada </w:t>
      </w:r>
    </w:p>
    <w:p w:rsidR="004A312E" w:rsidRPr="008F409F" w:rsidRDefault="009E40D4" w:rsidP="009E40D4">
      <w:pPr>
        <w:pStyle w:val="Odstavecseseznamem"/>
        <w:numPr>
          <w:ilvl w:val="0"/>
          <w:numId w:val="8"/>
        </w:numPr>
        <w:spacing w:after="120"/>
        <w:contextualSpacing w:val="0"/>
        <w:jc w:val="both"/>
        <w:rPr>
          <w:rFonts w:ascii="Arial" w:hAnsi="Arial" w:cs="Arial"/>
          <w:bCs/>
          <w:sz w:val="24"/>
          <w:szCs w:val="24"/>
        </w:rPr>
      </w:pPr>
      <w:r w:rsidRPr="008F409F">
        <w:rPr>
          <w:rFonts w:ascii="Arial" w:hAnsi="Arial" w:cs="Arial"/>
          <w:bCs/>
          <w:sz w:val="24"/>
          <w:szCs w:val="24"/>
        </w:rPr>
        <w:t>souhlasí s návrhem na změnu programu za předpokladu</w:t>
      </w:r>
      <w:r w:rsidR="005D02DF">
        <w:rPr>
          <w:rFonts w:ascii="Arial" w:hAnsi="Arial" w:cs="Arial"/>
          <w:bCs/>
          <w:sz w:val="24"/>
          <w:szCs w:val="24"/>
        </w:rPr>
        <w:t>,</w:t>
      </w:r>
      <w:r w:rsidR="008F409F" w:rsidRPr="008F409F">
        <w:rPr>
          <w:rFonts w:ascii="Arial" w:hAnsi="Arial" w:cs="Arial"/>
          <w:bCs/>
          <w:sz w:val="24"/>
          <w:szCs w:val="24"/>
        </w:rPr>
        <w:t xml:space="preserve"> že TAČR akceptuje všechny zásadní připomínky Rady,</w:t>
      </w:r>
    </w:p>
    <w:p w:rsidR="009E40D4" w:rsidRPr="009E40D4" w:rsidRDefault="004A312E" w:rsidP="009E40D4">
      <w:pPr>
        <w:pStyle w:val="Odstavecseseznamem"/>
        <w:numPr>
          <w:ilvl w:val="0"/>
          <w:numId w:val="8"/>
        </w:numPr>
        <w:spacing w:after="120"/>
        <w:contextualSpacing w:val="0"/>
        <w:jc w:val="both"/>
        <w:rPr>
          <w:rFonts w:ascii="Arial" w:hAnsi="Arial" w:cs="Arial"/>
          <w:bCs/>
          <w:sz w:val="24"/>
          <w:szCs w:val="24"/>
        </w:rPr>
      </w:pPr>
      <w:r>
        <w:rPr>
          <w:rFonts w:ascii="Arial" w:hAnsi="Arial" w:cs="Arial"/>
          <w:bCs/>
          <w:sz w:val="24"/>
          <w:szCs w:val="24"/>
        </w:rPr>
        <w:t>po zapracování zásadních připomínek</w:t>
      </w:r>
      <w:r w:rsidR="00E03ECE">
        <w:rPr>
          <w:rFonts w:ascii="Arial" w:hAnsi="Arial" w:cs="Arial"/>
          <w:bCs/>
          <w:sz w:val="24"/>
          <w:szCs w:val="24"/>
        </w:rPr>
        <w:t xml:space="preserve"> doporučuje návrh na změnu</w:t>
      </w:r>
      <w:r w:rsidR="006F0E74">
        <w:rPr>
          <w:rFonts w:ascii="Arial" w:hAnsi="Arial" w:cs="Arial"/>
          <w:bCs/>
          <w:sz w:val="24"/>
          <w:szCs w:val="24"/>
        </w:rPr>
        <w:t xml:space="preserve"> programu zaslat do meziresortního připomínkového řízení.</w:t>
      </w:r>
    </w:p>
    <w:p w:rsidR="008F2F56" w:rsidRPr="00A01CDB" w:rsidRDefault="008F2F56" w:rsidP="00535EC8">
      <w:pPr>
        <w:pStyle w:val="Zkladntext2"/>
        <w:spacing w:after="120"/>
        <w:jc w:val="both"/>
        <w:rPr>
          <w:rFonts w:ascii="Arial" w:hAnsi="Arial" w:cs="Arial"/>
          <w:b/>
          <w:color w:val="000000"/>
          <w:szCs w:val="24"/>
        </w:rPr>
      </w:pPr>
    </w:p>
    <w:p w:rsidR="00DA0591" w:rsidRDefault="00F63820" w:rsidP="00535EC8">
      <w:pPr>
        <w:pStyle w:val="Zkladntext2"/>
        <w:spacing w:after="120"/>
        <w:jc w:val="both"/>
        <w:rPr>
          <w:rFonts w:ascii="Arial" w:hAnsi="Arial" w:cs="Arial"/>
          <w:color w:val="000000"/>
          <w:szCs w:val="24"/>
        </w:rPr>
      </w:pPr>
      <w:r w:rsidRPr="00A01CDB">
        <w:rPr>
          <w:rFonts w:ascii="Arial" w:hAnsi="Arial" w:cs="Arial"/>
          <w:color w:val="000000"/>
          <w:szCs w:val="24"/>
        </w:rPr>
        <w:t>V Praze dne</w:t>
      </w:r>
      <w:r w:rsidR="00D3793F">
        <w:rPr>
          <w:rFonts w:ascii="Arial" w:hAnsi="Arial" w:cs="Arial"/>
          <w:color w:val="000000"/>
          <w:szCs w:val="24"/>
        </w:rPr>
        <w:t xml:space="preserve"> </w:t>
      </w:r>
      <w:r w:rsidR="00A2677E">
        <w:rPr>
          <w:rFonts w:ascii="Arial" w:hAnsi="Arial" w:cs="Arial"/>
          <w:color w:val="000000"/>
          <w:szCs w:val="24"/>
        </w:rPr>
        <w:t>2</w:t>
      </w:r>
      <w:r w:rsidR="00D3793F">
        <w:rPr>
          <w:rFonts w:ascii="Arial" w:hAnsi="Arial" w:cs="Arial"/>
          <w:color w:val="000000"/>
          <w:szCs w:val="24"/>
        </w:rPr>
        <w:t>0</w:t>
      </w:r>
      <w:r w:rsidR="00A01CDB" w:rsidRPr="00A01CDB">
        <w:rPr>
          <w:rFonts w:ascii="Arial" w:hAnsi="Arial" w:cs="Arial"/>
          <w:color w:val="000000"/>
          <w:szCs w:val="24"/>
        </w:rPr>
        <w:t xml:space="preserve">. </w:t>
      </w:r>
      <w:r w:rsidR="006F0E74">
        <w:rPr>
          <w:rFonts w:ascii="Arial" w:hAnsi="Arial" w:cs="Arial"/>
          <w:color w:val="000000"/>
          <w:szCs w:val="24"/>
        </w:rPr>
        <w:t>ledna</w:t>
      </w:r>
      <w:r w:rsidRPr="00A01CDB">
        <w:rPr>
          <w:rFonts w:ascii="Arial" w:hAnsi="Arial" w:cs="Arial"/>
          <w:color w:val="000000"/>
          <w:szCs w:val="24"/>
        </w:rPr>
        <w:t xml:space="preserve"> 20</w:t>
      </w:r>
      <w:r w:rsidR="005D02DF">
        <w:rPr>
          <w:rFonts w:ascii="Arial" w:hAnsi="Arial" w:cs="Arial"/>
          <w:color w:val="000000"/>
          <w:szCs w:val="24"/>
        </w:rPr>
        <w:t>20</w:t>
      </w:r>
    </w:p>
    <w:p w:rsidR="00EF447A" w:rsidRDefault="00EF447A" w:rsidP="00535EC8">
      <w:pPr>
        <w:pStyle w:val="Zkladntext2"/>
        <w:spacing w:after="120"/>
        <w:jc w:val="both"/>
        <w:rPr>
          <w:rFonts w:ascii="Arial" w:hAnsi="Arial" w:cs="Arial"/>
          <w:color w:val="000000"/>
          <w:szCs w:val="24"/>
        </w:rPr>
      </w:pPr>
    </w:p>
    <w:sectPr w:rsidR="00EF447A"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41D" w:rsidRDefault="000C741D" w:rsidP="008F77F6">
      <w:r>
        <w:separator/>
      </w:r>
    </w:p>
  </w:endnote>
  <w:endnote w:type="continuationSeparator" w:id="0">
    <w:p w:rsidR="000C741D" w:rsidRDefault="000C741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05F" w:rsidRDefault="008D705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Default="00F91154" w:rsidP="00A9105B">
    <w:pPr>
      <w:rPr>
        <w:rFonts w:ascii="Arial" w:hAnsi="Arial" w:cs="Arial"/>
        <w:sz w:val="20"/>
        <w:szCs w:val="20"/>
      </w:rPr>
    </w:pPr>
    <w:r w:rsidRPr="00B127FC">
      <w:rPr>
        <w:rFonts w:ascii="Arial" w:hAnsi="Arial" w:cs="Arial"/>
        <w:sz w:val="20"/>
        <w:szCs w:val="20"/>
      </w:rPr>
      <w:t xml:space="preserve">Stanovisko Rady pro výzkum, vývoj a inovace k návrhu </w:t>
    </w:r>
    <w:r w:rsidR="00A9105B">
      <w:rPr>
        <w:rFonts w:ascii="Arial" w:hAnsi="Arial" w:cs="Arial"/>
        <w:sz w:val="20"/>
        <w:szCs w:val="20"/>
      </w:rPr>
      <w:t xml:space="preserve">na změnu programu aplikovaného </w:t>
    </w:r>
    <w:r w:rsidR="00116E6B">
      <w:rPr>
        <w:rFonts w:ascii="Arial" w:hAnsi="Arial" w:cs="Arial"/>
        <w:sz w:val="20"/>
        <w:szCs w:val="20"/>
      </w:rPr>
      <w:t xml:space="preserve">výzkumu </w:t>
    </w:r>
    <w:r w:rsidR="0016562D">
      <w:rPr>
        <w:rFonts w:ascii="Arial" w:hAnsi="Arial" w:cs="Arial"/>
        <w:sz w:val="20"/>
        <w:szCs w:val="20"/>
      </w:rPr>
      <w:t>a</w:t>
    </w:r>
    <w:r w:rsidR="00116E6B">
      <w:rPr>
        <w:rFonts w:ascii="Arial" w:hAnsi="Arial" w:cs="Arial"/>
        <w:sz w:val="20"/>
        <w:szCs w:val="20"/>
      </w:rPr>
      <w:t> </w:t>
    </w:r>
    <w:r w:rsidR="009B08B1">
      <w:rPr>
        <w:rFonts w:ascii="Arial" w:hAnsi="Arial" w:cs="Arial"/>
        <w:sz w:val="20"/>
        <w:szCs w:val="20"/>
      </w:rPr>
      <w:t>experimentálního vývoje EPSILON</w:t>
    </w:r>
    <w:r w:rsidRPr="00B127FC">
      <w:rPr>
        <w:rFonts w:ascii="Arial" w:hAnsi="Arial" w:cs="Arial"/>
        <w:sz w:val="20"/>
        <w:szCs w:val="20"/>
      </w:rPr>
      <w:t xml:space="preserve"> </w:t>
    </w:r>
    <w:sdt>
      <w:sdtPr>
        <w:rPr>
          <w:rFonts w:ascii="Arial" w:hAnsi="Arial" w:cs="Arial"/>
          <w:sz w:val="20"/>
          <w:szCs w:val="20"/>
        </w:rPr>
        <w:id w:val="1547331835"/>
        <w:docPartObj>
          <w:docPartGallery w:val="Page Numbers (Bottom of Page)"/>
          <w:docPartUnique/>
        </w:docPartObj>
      </w:sdtPr>
      <w:sdtEndPr/>
      <w:sdtContent>
        <w:r w:rsidR="00620A8E">
          <w:rPr>
            <w:rFonts w:ascii="Arial" w:hAnsi="Arial" w:cs="Arial"/>
            <w:sz w:val="20"/>
            <w:szCs w:val="20"/>
          </w:rPr>
          <w:t xml:space="preserve">, </w:t>
        </w:r>
        <w:r w:rsidR="00670B15">
          <w:rPr>
            <w:rFonts w:ascii="Arial" w:hAnsi="Arial" w:cs="Arial"/>
            <w:sz w:val="20"/>
            <w:szCs w:val="20"/>
          </w:rPr>
          <w:t>20. 1. 2020</w:t>
        </w:r>
        <w:r w:rsidR="005F7394">
          <w:rPr>
            <w:rFonts w:ascii="Arial" w:hAnsi="Arial" w:cs="Arial"/>
            <w:sz w:val="20"/>
            <w:szCs w:val="20"/>
          </w:rPr>
          <w:tab/>
        </w:r>
        <w:r w:rsidRPr="00B127FC">
          <w:rPr>
            <w:rFonts w:ascii="Arial" w:hAnsi="Arial" w:cs="Arial"/>
            <w:sz w:val="20"/>
            <w:szCs w:val="20"/>
          </w:rPr>
          <w:tab/>
        </w:r>
        <w:r w:rsidR="00CC370F" w:rsidRPr="00B127FC">
          <w:rPr>
            <w:rFonts w:ascii="Arial" w:hAnsi="Arial" w:cs="Arial"/>
            <w:sz w:val="20"/>
            <w:szCs w:val="20"/>
          </w:rPr>
          <w:fldChar w:fldCharType="begin"/>
        </w:r>
        <w:r w:rsidR="00CC370F" w:rsidRPr="00B127FC">
          <w:rPr>
            <w:rFonts w:ascii="Arial" w:hAnsi="Arial" w:cs="Arial"/>
            <w:sz w:val="20"/>
            <w:szCs w:val="20"/>
          </w:rPr>
          <w:instrText>PAGE   \* MERGEFORMAT</w:instrText>
        </w:r>
        <w:r w:rsidR="00CC370F" w:rsidRPr="00B127FC">
          <w:rPr>
            <w:rFonts w:ascii="Arial" w:hAnsi="Arial" w:cs="Arial"/>
            <w:sz w:val="20"/>
            <w:szCs w:val="20"/>
          </w:rPr>
          <w:fldChar w:fldCharType="separate"/>
        </w:r>
        <w:r w:rsidR="008B27D2">
          <w:rPr>
            <w:rFonts w:ascii="Arial" w:hAnsi="Arial" w:cs="Arial"/>
            <w:noProof/>
            <w:sz w:val="20"/>
            <w:szCs w:val="20"/>
          </w:rPr>
          <w:t>4</w:t>
        </w:r>
        <w:r w:rsidR="00CC370F" w:rsidRPr="00B127FC">
          <w:rPr>
            <w:rFonts w:ascii="Arial" w:hAnsi="Arial" w:cs="Arial"/>
            <w:sz w:val="20"/>
            <w:szCs w:val="20"/>
          </w:rPr>
          <w:fldChar w:fldCharType="end"/>
        </w:r>
        <w:r w:rsidR="00CC370F" w:rsidRPr="00B127FC">
          <w:rPr>
            <w:rFonts w:ascii="Arial" w:hAnsi="Arial" w:cs="Arial"/>
            <w:sz w:val="20"/>
            <w:szCs w:val="20"/>
          </w:rPr>
          <w:t xml:space="preserve"> / </w:t>
        </w:r>
        <w:r w:rsidR="00CC370F" w:rsidRPr="00B127FC">
          <w:rPr>
            <w:rFonts w:ascii="Arial" w:hAnsi="Arial" w:cs="Arial"/>
            <w:sz w:val="20"/>
            <w:szCs w:val="20"/>
          </w:rPr>
          <w:fldChar w:fldCharType="begin"/>
        </w:r>
        <w:r w:rsidR="00CC370F" w:rsidRPr="00B127FC">
          <w:rPr>
            <w:rFonts w:ascii="Arial" w:hAnsi="Arial" w:cs="Arial"/>
            <w:sz w:val="20"/>
            <w:szCs w:val="20"/>
          </w:rPr>
          <w:instrText xml:space="preserve"> NUMPAGES   \* MERGEFORMAT </w:instrText>
        </w:r>
        <w:r w:rsidR="00CC370F" w:rsidRPr="00B127FC">
          <w:rPr>
            <w:rFonts w:ascii="Arial" w:hAnsi="Arial" w:cs="Arial"/>
            <w:sz w:val="20"/>
            <w:szCs w:val="20"/>
          </w:rPr>
          <w:fldChar w:fldCharType="separate"/>
        </w:r>
        <w:r w:rsidR="008B27D2">
          <w:rPr>
            <w:rFonts w:ascii="Arial" w:hAnsi="Arial" w:cs="Arial"/>
            <w:noProof/>
            <w:sz w:val="20"/>
            <w:szCs w:val="20"/>
          </w:rPr>
          <w:t>4</w:t>
        </w:r>
        <w:r w:rsidR="00CC370F" w:rsidRPr="00B127FC">
          <w:rPr>
            <w:rFonts w:ascii="Arial" w:hAnsi="Arial" w:cs="Arial"/>
            <w:sz w:val="20"/>
            <w:szCs w:val="20"/>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F56" w:rsidRDefault="008F2F56">
    <w:pPr>
      <w:pStyle w:val="Zpat"/>
    </w:pPr>
  </w:p>
  <w:p w:rsidR="00CC370F" w:rsidRPr="00CC370F" w:rsidRDefault="00CC370F" w:rsidP="00F91154">
    <w:pPr>
      <w:pStyle w:val="Zpat"/>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41D" w:rsidRDefault="000C741D" w:rsidP="008F77F6">
      <w:r>
        <w:separator/>
      </w:r>
    </w:p>
  </w:footnote>
  <w:footnote w:type="continuationSeparator" w:id="0">
    <w:p w:rsidR="000C741D" w:rsidRDefault="000C741D" w:rsidP="008F77F6">
      <w:r>
        <w:continuationSeparator/>
      </w:r>
    </w:p>
  </w:footnote>
  <w:footnote w:id="1">
    <w:p w:rsidR="00D44222" w:rsidRPr="00D44222" w:rsidRDefault="00D44222" w:rsidP="00D44222">
      <w:pPr>
        <w:spacing w:after="120"/>
        <w:jc w:val="both"/>
        <w:rPr>
          <w:rFonts w:ascii="Arial" w:hAnsi="Arial" w:cs="Arial"/>
          <w:color w:val="000000"/>
          <w:sz w:val="16"/>
          <w:szCs w:val="16"/>
        </w:rPr>
      </w:pPr>
      <w:r w:rsidRPr="00D44222">
        <w:rPr>
          <w:rStyle w:val="Znakapoznpodarou"/>
          <w:rFonts w:ascii="Arial" w:hAnsi="Arial" w:cs="Arial"/>
          <w:sz w:val="16"/>
          <w:szCs w:val="16"/>
        </w:rPr>
        <w:footnoteRef/>
      </w:r>
      <w:r w:rsidRPr="00D44222">
        <w:rPr>
          <w:rFonts w:ascii="Arial" w:hAnsi="Arial" w:cs="Arial"/>
          <w:sz w:val="16"/>
          <w:szCs w:val="16"/>
        </w:rPr>
        <w:t xml:space="preserve"> </w:t>
      </w:r>
      <w:r w:rsidRPr="00D44222">
        <w:rPr>
          <w:rFonts w:ascii="Arial" w:hAnsi="Arial" w:cs="Arial"/>
          <w:color w:val="000000"/>
          <w:sz w:val="16"/>
          <w:szCs w:val="16"/>
        </w:rPr>
        <w:t>Nařízení Komise (</w:t>
      </w:r>
      <w:r w:rsidRPr="00D44222">
        <w:rPr>
          <w:rFonts w:ascii="Arial" w:eastAsia="Arial" w:hAnsi="Arial" w:cs="Arial"/>
          <w:color w:val="000000"/>
          <w:sz w:val="16"/>
          <w:szCs w:val="16"/>
        </w:rPr>
        <w:t>EU</w:t>
      </w:r>
      <w:r w:rsidRPr="00D44222">
        <w:rPr>
          <w:rFonts w:ascii="Arial" w:hAnsi="Arial" w:cs="Arial"/>
          <w:color w:val="000000"/>
          <w:sz w:val="16"/>
          <w:szCs w:val="16"/>
        </w:rPr>
        <w:t xml:space="preserve">) č. </w:t>
      </w:r>
      <w:r w:rsidRPr="00D44222">
        <w:rPr>
          <w:rFonts w:ascii="Arial" w:eastAsia="Arial" w:hAnsi="Arial" w:cs="Arial"/>
          <w:color w:val="000000"/>
          <w:sz w:val="16"/>
          <w:szCs w:val="16"/>
        </w:rPr>
        <w:t>651/2014</w:t>
      </w:r>
      <w:r w:rsidRPr="00D44222">
        <w:rPr>
          <w:rFonts w:ascii="Arial" w:hAnsi="Arial" w:cs="Arial"/>
          <w:color w:val="000000"/>
          <w:sz w:val="16"/>
          <w:szCs w:val="16"/>
        </w:rPr>
        <w:t xml:space="preserve"> ze dne </w:t>
      </w:r>
      <w:r w:rsidRPr="00D44222">
        <w:rPr>
          <w:rFonts w:ascii="Arial" w:eastAsia="Arial" w:hAnsi="Arial" w:cs="Arial"/>
          <w:color w:val="000000"/>
          <w:sz w:val="16"/>
          <w:szCs w:val="16"/>
        </w:rPr>
        <w:t>17. června 2014</w:t>
      </w:r>
      <w:r w:rsidRPr="00D44222">
        <w:rPr>
          <w:rFonts w:ascii="Arial" w:hAnsi="Arial" w:cs="Arial"/>
          <w:color w:val="000000"/>
          <w:sz w:val="16"/>
          <w:szCs w:val="16"/>
        </w:rPr>
        <w:t xml:space="preserve">, kterým se v souladu s články </w:t>
      </w:r>
      <w:r w:rsidRPr="00D44222">
        <w:rPr>
          <w:rFonts w:ascii="Arial" w:eastAsia="Arial" w:hAnsi="Arial" w:cs="Arial"/>
          <w:color w:val="000000"/>
          <w:sz w:val="16"/>
          <w:szCs w:val="16"/>
        </w:rPr>
        <w:t>107</w:t>
      </w:r>
      <w:r w:rsidRPr="00D44222">
        <w:rPr>
          <w:rFonts w:ascii="Arial" w:hAnsi="Arial" w:cs="Arial"/>
          <w:color w:val="000000"/>
          <w:sz w:val="16"/>
          <w:szCs w:val="16"/>
        </w:rPr>
        <w:t> a </w:t>
      </w:r>
      <w:r w:rsidRPr="00D44222">
        <w:rPr>
          <w:rFonts w:ascii="Arial" w:eastAsia="Arial" w:hAnsi="Arial" w:cs="Arial"/>
          <w:color w:val="000000"/>
          <w:sz w:val="16"/>
          <w:szCs w:val="16"/>
        </w:rPr>
        <w:t>108</w:t>
      </w:r>
      <w:r w:rsidRPr="00D44222">
        <w:rPr>
          <w:rFonts w:ascii="Arial" w:hAnsi="Arial" w:cs="Arial"/>
          <w:color w:val="000000"/>
          <w:sz w:val="16"/>
          <w:szCs w:val="16"/>
        </w:rPr>
        <w:t xml:space="preserve"> Smlouvy prohlašují určité kategorie </w:t>
      </w:r>
      <w:r w:rsidRPr="00D44222">
        <w:rPr>
          <w:rFonts w:ascii="Arial" w:eastAsia="Arial" w:hAnsi="Arial" w:cs="Arial"/>
          <w:color w:val="000000"/>
          <w:sz w:val="16"/>
          <w:szCs w:val="16"/>
        </w:rPr>
        <w:t xml:space="preserve">podpory </w:t>
      </w:r>
      <w:r w:rsidRPr="00D44222">
        <w:rPr>
          <w:rFonts w:ascii="Arial" w:hAnsi="Arial" w:cs="Arial"/>
          <w:color w:val="000000"/>
          <w:sz w:val="16"/>
          <w:szCs w:val="16"/>
        </w:rPr>
        <w:t xml:space="preserve">za slučitelné </w:t>
      </w:r>
      <w:r w:rsidRPr="00D44222">
        <w:rPr>
          <w:rFonts w:ascii="Arial" w:eastAsia="Arial" w:hAnsi="Arial" w:cs="Arial"/>
          <w:color w:val="000000"/>
          <w:sz w:val="16"/>
          <w:szCs w:val="16"/>
        </w:rPr>
        <w:t>s vnitřním</w:t>
      </w:r>
      <w:r w:rsidRPr="00D44222">
        <w:rPr>
          <w:rFonts w:ascii="Arial" w:hAnsi="Arial" w:cs="Arial"/>
          <w:color w:val="000000"/>
          <w:sz w:val="16"/>
          <w:szCs w:val="16"/>
        </w:rPr>
        <w:t xml:space="preserve"> trhem - Úřední věstník Evropské unie L </w:t>
      </w:r>
      <w:r w:rsidRPr="00D44222">
        <w:rPr>
          <w:rFonts w:ascii="Arial" w:eastAsia="Arial" w:hAnsi="Arial" w:cs="Arial"/>
          <w:color w:val="000000"/>
          <w:sz w:val="16"/>
          <w:szCs w:val="16"/>
        </w:rPr>
        <w:t xml:space="preserve">187, 26. 6. 2014, </w:t>
      </w:r>
      <w:r w:rsidRPr="00D44222">
        <w:rPr>
          <w:rFonts w:ascii="Arial" w:hAnsi="Arial" w:cs="Arial"/>
          <w:color w:val="000000"/>
          <w:sz w:val="16"/>
          <w:szCs w:val="16"/>
        </w:rPr>
        <w:t xml:space="preserve">zejm. čl. </w:t>
      </w:r>
      <w:r w:rsidRPr="00D44222">
        <w:rPr>
          <w:rFonts w:ascii="Arial" w:eastAsia="Arial" w:hAnsi="Arial" w:cs="Arial"/>
          <w:color w:val="000000"/>
          <w:sz w:val="16"/>
          <w:szCs w:val="16"/>
        </w:rPr>
        <w:t>25, 28, 29, ve  znění novely, která byla provedena Nařízením č. 2017/1084 ze dne 14. června 2017</w:t>
      </w:r>
      <w:r w:rsidRPr="00D44222">
        <w:rPr>
          <w:rFonts w:ascii="Arial" w:hAnsi="Arial" w:cs="Arial"/>
          <w:color w:val="000000"/>
          <w:sz w:val="16"/>
          <w:szCs w:val="16"/>
        </w:rPr>
        <w:t>;</w:t>
      </w:r>
    </w:p>
    <w:p w:rsidR="00D44222" w:rsidRPr="00D44222" w:rsidRDefault="00D44222">
      <w:pPr>
        <w:pStyle w:val="Textpoznpodarou"/>
        <w:rPr>
          <w:rFonts w:ascii="Arial" w:hAnsi="Arial" w:cs="Arial"/>
          <w:sz w:val="16"/>
          <w:szCs w:val="16"/>
        </w:rPr>
      </w:pPr>
    </w:p>
  </w:footnote>
  <w:footnote w:id="2">
    <w:p w:rsidR="00D44222" w:rsidRPr="00D44222" w:rsidRDefault="00D44222">
      <w:pPr>
        <w:pStyle w:val="Textpoznpodarou"/>
        <w:rPr>
          <w:rFonts w:ascii="Arial" w:hAnsi="Arial" w:cs="Arial"/>
          <w:sz w:val="16"/>
          <w:szCs w:val="16"/>
        </w:rPr>
      </w:pPr>
      <w:r w:rsidRPr="00D44222">
        <w:rPr>
          <w:rStyle w:val="Znakapoznpodarou"/>
          <w:rFonts w:ascii="Arial" w:hAnsi="Arial" w:cs="Arial"/>
          <w:sz w:val="16"/>
          <w:szCs w:val="16"/>
        </w:rPr>
        <w:footnoteRef/>
      </w:r>
      <w:r w:rsidRPr="00D44222">
        <w:rPr>
          <w:rFonts w:ascii="Arial" w:hAnsi="Arial" w:cs="Arial"/>
          <w:sz w:val="16"/>
          <w:szCs w:val="16"/>
        </w:rPr>
        <w:t xml:space="preserve"> </w:t>
      </w:r>
      <w:r w:rsidRPr="00D44222">
        <w:rPr>
          <w:rFonts w:ascii="Arial" w:hAnsi="Arial" w:cs="Arial"/>
          <w:color w:val="000000"/>
          <w:sz w:val="16"/>
          <w:szCs w:val="16"/>
        </w:rPr>
        <w:t xml:space="preserve">Rámce pro státní podporu výzkumu, vývoje a inovací - Úřední věstník Evropské unie C </w:t>
      </w:r>
      <w:r w:rsidRPr="00D44222">
        <w:rPr>
          <w:rFonts w:ascii="Arial" w:eastAsia="Arial" w:hAnsi="Arial" w:cs="Arial"/>
          <w:color w:val="000000"/>
          <w:sz w:val="16"/>
          <w:szCs w:val="16"/>
        </w:rPr>
        <w:t>198, 27. 6. 2014</w:t>
      </w:r>
      <w:r w:rsidRPr="00D44222">
        <w:rPr>
          <w:rFonts w:ascii="Arial" w:hAnsi="Arial" w:cs="Arial"/>
          <w:color w:val="000000"/>
          <w:sz w:val="16"/>
          <w:szCs w:val="16"/>
        </w:rPr>
        <w:t xml:space="preserve"> (dále jen „Rámec“);</w:t>
      </w:r>
    </w:p>
  </w:footnote>
  <w:footnote w:id="3">
    <w:p w:rsidR="00116E6B" w:rsidRPr="00116E6B" w:rsidRDefault="00116E6B" w:rsidP="00116E6B">
      <w:pPr>
        <w:pStyle w:val="Textpoznpodarou"/>
        <w:jc w:val="both"/>
        <w:rPr>
          <w:rFonts w:ascii="Arial" w:hAnsi="Arial" w:cs="Arial"/>
        </w:rPr>
      </w:pPr>
      <w:r w:rsidRPr="00116E6B">
        <w:rPr>
          <w:rStyle w:val="Znakapoznpodarou"/>
          <w:rFonts w:ascii="Arial" w:hAnsi="Arial" w:cs="Arial"/>
        </w:rPr>
        <w:footnoteRef/>
      </w:r>
      <w:r w:rsidRPr="00116E6B">
        <w:rPr>
          <w:rFonts w:ascii="Arial" w:hAnsi="Arial" w:cs="Arial"/>
        </w:rPr>
        <w:t xml:space="preserve"> Jedná se o programy KAPPA, kde je i</w:t>
      </w:r>
      <w:r w:rsidRPr="00116E6B">
        <w:rPr>
          <w:rFonts w:ascii="Arial" w:eastAsia="Arial" w:hAnsi="Arial" w:cs="Arial"/>
        </w:rPr>
        <w:t xml:space="preserve">ntenzita podpory 80 %, a program DELTA 2, kde intenzita podpory činí 74 %.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05F" w:rsidRDefault="008D705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7B51FEF" wp14:editId="7A971991">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EC" w:rsidRPr="009758E5" w:rsidRDefault="00E90BEC" w:rsidP="009B245E">
    <w:pPr>
      <w:pStyle w:val="Zhlav"/>
      <w:rPr>
        <w:rFonts w:ascii="Arial" w:hAnsi="Arial" w:cs="Arial"/>
        <w:b/>
        <w:color w:val="0B38B5"/>
      </w:rPr>
    </w:pPr>
    <w:r>
      <w:rPr>
        <w:rFonts w:ascii="Arial" w:hAnsi="Arial" w:cs="Arial"/>
        <w:b/>
      </w:rPr>
      <w:tab/>
    </w:r>
  </w:p>
  <w:tbl>
    <w:tblPr>
      <w:tblStyle w:val="Mkatabulky"/>
      <w:tblW w:w="9747" w:type="dxa"/>
      <w:tblLook w:val="04A0" w:firstRow="1" w:lastRow="0" w:firstColumn="1" w:lastColumn="0" w:noHBand="0" w:noVBand="1"/>
    </w:tblPr>
    <w:tblGrid>
      <w:gridCol w:w="8188"/>
      <w:gridCol w:w="1559"/>
    </w:tblGrid>
    <w:tr w:rsidR="00E90BEC" w:rsidTr="00B0148B">
      <w:trPr>
        <w:trHeight w:val="686"/>
      </w:trPr>
      <w:tc>
        <w:tcPr>
          <w:tcW w:w="8188" w:type="dxa"/>
          <w:tcBorders>
            <w:top w:val="nil"/>
            <w:left w:val="nil"/>
            <w:bottom w:val="nil"/>
            <w:right w:val="single" w:sz="6" w:space="0" w:color="auto"/>
          </w:tcBorders>
          <w:vAlign w:val="center"/>
        </w:tcPr>
        <w:p w:rsidR="00E90BEC" w:rsidRPr="009758E5" w:rsidRDefault="00E90BEC" w:rsidP="00B0148B">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5408" behindDoc="0" locked="0" layoutInCell="1" allowOverlap="1" wp14:anchorId="11BCD8B9" wp14:editId="14D2ED3A">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E90BEC" w:rsidRPr="003C2A8E" w:rsidRDefault="00E90BEC" w:rsidP="009314AF">
          <w:pPr>
            <w:pStyle w:val="Zhlav"/>
            <w:jc w:val="center"/>
            <w:rPr>
              <w:rFonts w:ascii="Arial" w:hAnsi="Arial" w:cs="Arial"/>
              <w:b/>
              <w:color w:val="0070C0"/>
              <w:sz w:val="28"/>
              <w:szCs w:val="28"/>
            </w:rPr>
          </w:pPr>
          <w:r>
            <w:rPr>
              <w:rFonts w:ascii="Arial" w:hAnsi="Arial" w:cs="Arial"/>
              <w:b/>
              <w:color w:val="0070C0"/>
              <w:sz w:val="28"/>
              <w:szCs w:val="28"/>
            </w:rPr>
            <w:t>3</w:t>
          </w:r>
          <w:r w:rsidR="00773FC9">
            <w:rPr>
              <w:rFonts w:ascii="Arial" w:hAnsi="Arial" w:cs="Arial"/>
              <w:b/>
              <w:color w:val="0070C0"/>
              <w:sz w:val="28"/>
              <w:szCs w:val="28"/>
            </w:rPr>
            <w:t>5</w:t>
          </w:r>
          <w:r w:rsidR="009314AF">
            <w:rPr>
              <w:rFonts w:ascii="Arial" w:hAnsi="Arial" w:cs="Arial"/>
              <w:b/>
              <w:color w:val="0070C0"/>
              <w:sz w:val="28"/>
              <w:szCs w:val="28"/>
            </w:rPr>
            <w:t>3</w:t>
          </w:r>
          <w:r>
            <w:rPr>
              <w:rFonts w:ascii="Arial" w:hAnsi="Arial" w:cs="Arial"/>
              <w:b/>
              <w:color w:val="0070C0"/>
              <w:sz w:val="28"/>
              <w:szCs w:val="28"/>
            </w:rPr>
            <w:t>/A</w:t>
          </w:r>
          <w:r w:rsidR="008D705F">
            <w:rPr>
              <w:rFonts w:ascii="Arial" w:hAnsi="Arial" w:cs="Arial"/>
              <w:b/>
              <w:color w:val="0070C0"/>
              <w:sz w:val="28"/>
              <w:szCs w:val="28"/>
            </w:rPr>
            <w:t>5</w:t>
          </w:r>
        </w:p>
      </w:tc>
    </w:tr>
  </w:tbl>
  <w:p w:rsidR="009B245E" w:rsidRPr="009758E5" w:rsidRDefault="009B245E" w:rsidP="009B245E">
    <w:pPr>
      <w:pStyle w:val="Zhlav"/>
      <w:rPr>
        <w:rFonts w:ascii="Arial" w:hAnsi="Arial" w:cs="Arial"/>
        <w:b/>
        <w:color w:val="0B38B5"/>
      </w:rPr>
    </w:pPr>
  </w:p>
  <w:p w:rsidR="009B245E" w:rsidRDefault="009B245E" w:rsidP="009B245E">
    <w:pPr>
      <w:pStyle w:val="Zhlav"/>
      <w:jc w:val="right"/>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502DF2"/>
    <w:multiLevelType w:val="hybridMultilevel"/>
    <w:tmpl w:val="A54E1616"/>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C64C77"/>
    <w:multiLevelType w:val="hybridMultilevel"/>
    <w:tmpl w:val="608E9E36"/>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F4404A"/>
    <w:multiLevelType w:val="hybridMultilevel"/>
    <w:tmpl w:val="37F2C6F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37357F6"/>
    <w:multiLevelType w:val="hybridMultilevel"/>
    <w:tmpl w:val="DC0E7F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7997BB6"/>
    <w:multiLevelType w:val="hybridMultilevel"/>
    <w:tmpl w:val="17E896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7F848E1"/>
    <w:multiLevelType w:val="hybridMultilevel"/>
    <w:tmpl w:val="5AB685B8"/>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90173B0"/>
    <w:multiLevelType w:val="hybridMultilevel"/>
    <w:tmpl w:val="0F78EFBC"/>
    <w:lvl w:ilvl="0" w:tplc="08BC6D6A">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0A34F7"/>
    <w:multiLevelType w:val="hybridMultilevel"/>
    <w:tmpl w:val="EF261FB0"/>
    <w:lvl w:ilvl="0" w:tplc="229AC570">
      <w:start w:val="1"/>
      <w:numFmt w:val="lowerLetter"/>
      <w:lvlText w:val="%1)"/>
      <w:lvlJc w:val="left"/>
      <w:pPr>
        <w:ind w:left="1582" w:hanging="360"/>
      </w:pPr>
      <w:rPr>
        <w:rFonts w:hint="default"/>
      </w:rPr>
    </w:lvl>
    <w:lvl w:ilvl="1" w:tplc="04050019" w:tentative="1">
      <w:start w:val="1"/>
      <w:numFmt w:val="lowerLetter"/>
      <w:lvlText w:val="%2."/>
      <w:lvlJc w:val="left"/>
      <w:pPr>
        <w:ind w:left="2302" w:hanging="360"/>
      </w:pPr>
    </w:lvl>
    <w:lvl w:ilvl="2" w:tplc="0405001B" w:tentative="1">
      <w:start w:val="1"/>
      <w:numFmt w:val="lowerRoman"/>
      <w:lvlText w:val="%3."/>
      <w:lvlJc w:val="right"/>
      <w:pPr>
        <w:ind w:left="3022" w:hanging="180"/>
      </w:pPr>
    </w:lvl>
    <w:lvl w:ilvl="3" w:tplc="0405000F" w:tentative="1">
      <w:start w:val="1"/>
      <w:numFmt w:val="decimal"/>
      <w:lvlText w:val="%4."/>
      <w:lvlJc w:val="left"/>
      <w:pPr>
        <w:ind w:left="3742" w:hanging="360"/>
      </w:pPr>
    </w:lvl>
    <w:lvl w:ilvl="4" w:tplc="04050019" w:tentative="1">
      <w:start w:val="1"/>
      <w:numFmt w:val="lowerLetter"/>
      <w:lvlText w:val="%5."/>
      <w:lvlJc w:val="left"/>
      <w:pPr>
        <w:ind w:left="4462" w:hanging="360"/>
      </w:pPr>
    </w:lvl>
    <w:lvl w:ilvl="5" w:tplc="0405001B" w:tentative="1">
      <w:start w:val="1"/>
      <w:numFmt w:val="lowerRoman"/>
      <w:lvlText w:val="%6."/>
      <w:lvlJc w:val="right"/>
      <w:pPr>
        <w:ind w:left="5182" w:hanging="180"/>
      </w:pPr>
    </w:lvl>
    <w:lvl w:ilvl="6" w:tplc="0405000F" w:tentative="1">
      <w:start w:val="1"/>
      <w:numFmt w:val="decimal"/>
      <w:lvlText w:val="%7."/>
      <w:lvlJc w:val="left"/>
      <w:pPr>
        <w:ind w:left="5902" w:hanging="360"/>
      </w:pPr>
    </w:lvl>
    <w:lvl w:ilvl="7" w:tplc="04050019" w:tentative="1">
      <w:start w:val="1"/>
      <w:numFmt w:val="lowerLetter"/>
      <w:lvlText w:val="%8."/>
      <w:lvlJc w:val="left"/>
      <w:pPr>
        <w:ind w:left="6622" w:hanging="360"/>
      </w:pPr>
    </w:lvl>
    <w:lvl w:ilvl="8" w:tplc="0405001B" w:tentative="1">
      <w:start w:val="1"/>
      <w:numFmt w:val="lowerRoman"/>
      <w:lvlText w:val="%9."/>
      <w:lvlJc w:val="right"/>
      <w:pPr>
        <w:ind w:left="7342" w:hanging="180"/>
      </w:pPr>
    </w:lvl>
  </w:abstractNum>
  <w:abstractNum w:abstractNumId="9">
    <w:nsid w:val="20092A43"/>
    <w:multiLevelType w:val="multilevel"/>
    <w:tmpl w:val="189A4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DC3404"/>
    <w:multiLevelType w:val="hybridMultilevel"/>
    <w:tmpl w:val="115C4522"/>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3B7A656F"/>
    <w:multiLevelType w:val="hybridMultilevel"/>
    <w:tmpl w:val="1EFE5D82"/>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F56906"/>
    <w:multiLevelType w:val="hybridMultilevel"/>
    <w:tmpl w:val="BB903E16"/>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5F91E09"/>
    <w:multiLevelType w:val="hybridMultilevel"/>
    <w:tmpl w:val="6256EA08"/>
    <w:lvl w:ilvl="0" w:tplc="C0E6E782">
      <w:start w:val="1"/>
      <w:numFmt w:val="lowerLetter"/>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6487D1A"/>
    <w:multiLevelType w:val="hybridMultilevel"/>
    <w:tmpl w:val="21C0136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80938E8"/>
    <w:multiLevelType w:val="hybridMultilevel"/>
    <w:tmpl w:val="D6A2C634"/>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F1406D3"/>
    <w:multiLevelType w:val="hybridMultilevel"/>
    <w:tmpl w:val="03BCA618"/>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1863DF8"/>
    <w:multiLevelType w:val="multilevel"/>
    <w:tmpl w:val="2A8EE4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54EB01E7"/>
    <w:multiLevelType w:val="multilevel"/>
    <w:tmpl w:val="2F705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57CA3715"/>
    <w:multiLevelType w:val="hybridMultilevel"/>
    <w:tmpl w:val="CA50025A"/>
    <w:lvl w:ilvl="0" w:tplc="AEE044D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D9C06EB"/>
    <w:multiLevelType w:val="hybridMultilevel"/>
    <w:tmpl w:val="3C0AB6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40321CC"/>
    <w:multiLevelType w:val="hybridMultilevel"/>
    <w:tmpl w:val="921A6A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EB568D8"/>
    <w:multiLevelType w:val="hybridMultilevel"/>
    <w:tmpl w:val="C456AE6A"/>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153505F"/>
    <w:multiLevelType w:val="multilevel"/>
    <w:tmpl w:val="20441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7D4B6EC6"/>
    <w:multiLevelType w:val="hybridMultilevel"/>
    <w:tmpl w:val="97948D14"/>
    <w:lvl w:ilvl="0" w:tplc="3DA8B2F8">
      <w:start w:val="1"/>
      <w:numFmt w:val="upperRoman"/>
      <w:lvlText w:val="%1."/>
      <w:lvlJc w:val="left"/>
      <w:pPr>
        <w:ind w:left="1080" w:hanging="72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1"/>
  </w:num>
  <w:num w:numId="3">
    <w:abstractNumId w:val="10"/>
  </w:num>
  <w:num w:numId="4">
    <w:abstractNumId w:val="8"/>
  </w:num>
  <w:num w:numId="5">
    <w:abstractNumId w:val="18"/>
  </w:num>
  <w:num w:numId="6">
    <w:abstractNumId w:val="4"/>
  </w:num>
  <w:num w:numId="7">
    <w:abstractNumId w:val="27"/>
  </w:num>
  <w:num w:numId="8">
    <w:abstractNumId w:val="24"/>
  </w:num>
  <w:num w:numId="9">
    <w:abstractNumId w:val="26"/>
  </w:num>
  <w:num w:numId="10">
    <w:abstractNumId w:val="9"/>
  </w:num>
  <w:num w:numId="11">
    <w:abstractNumId w:val="12"/>
  </w:num>
  <w:num w:numId="12">
    <w:abstractNumId w:val="2"/>
  </w:num>
  <w:num w:numId="13">
    <w:abstractNumId w:val="1"/>
  </w:num>
  <w:num w:numId="14">
    <w:abstractNumId w:val="13"/>
  </w:num>
  <w:num w:numId="15">
    <w:abstractNumId w:val="17"/>
  </w:num>
  <w:num w:numId="16">
    <w:abstractNumId w:val="16"/>
  </w:num>
  <w:num w:numId="17">
    <w:abstractNumId w:val="25"/>
  </w:num>
  <w:num w:numId="18">
    <w:abstractNumId w:val="23"/>
  </w:num>
  <w:num w:numId="19">
    <w:abstractNumId w:val="21"/>
  </w:num>
  <w:num w:numId="20">
    <w:abstractNumId w:val="5"/>
  </w:num>
  <w:num w:numId="21">
    <w:abstractNumId w:val="15"/>
  </w:num>
  <w:num w:numId="22">
    <w:abstractNumId w:val="20"/>
  </w:num>
  <w:num w:numId="23">
    <w:abstractNumId w:val="22"/>
  </w:num>
  <w:num w:numId="24">
    <w:abstractNumId w:val="19"/>
  </w:num>
  <w:num w:numId="25">
    <w:abstractNumId w:val="14"/>
  </w:num>
  <w:num w:numId="26">
    <w:abstractNumId w:val="6"/>
  </w:num>
  <w:num w:numId="27">
    <w:abstractNumId w:val="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3367"/>
    <w:rsid w:val="00007F52"/>
    <w:rsid w:val="00027F2A"/>
    <w:rsid w:val="000416BD"/>
    <w:rsid w:val="000464CE"/>
    <w:rsid w:val="00055CA0"/>
    <w:rsid w:val="00075212"/>
    <w:rsid w:val="000815CA"/>
    <w:rsid w:val="000819A0"/>
    <w:rsid w:val="000A0F04"/>
    <w:rsid w:val="000A1F94"/>
    <w:rsid w:val="000B0A97"/>
    <w:rsid w:val="000B5338"/>
    <w:rsid w:val="000B7918"/>
    <w:rsid w:val="000C27CF"/>
    <w:rsid w:val="000C4A33"/>
    <w:rsid w:val="000C4AC3"/>
    <w:rsid w:val="000C59C3"/>
    <w:rsid w:val="000C741D"/>
    <w:rsid w:val="000F3795"/>
    <w:rsid w:val="0010066C"/>
    <w:rsid w:val="00116E6B"/>
    <w:rsid w:val="001228CE"/>
    <w:rsid w:val="00124D35"/>
    <w:rsid w:val="00126E48"/>
    <w:rsid w:val="00160F06"/>
    <w:rsid w:val="00160F7F"/>
    <w:rsid w:val="0016562D"/>
    <w:rsid w:val="001860CA"/>
    <w:rsid w:val="001A1D97"/>
    <w:rsid w:val="001B1124"/>
    <w:rsid w:val="001C1683"/>
    <w:rsid w:val="001E04CC"/>
    <w:rsid w:val="001E4582"/>
    <w:rsid w:val="001F0B2A"/>
    <w:rsid w:val="001F3167"/>
    <w:rsid w:val="00210A92"/>
    <w:rsid w:val="00213FC8"/>
    <w:rsid w:val="00221205"/>
    <w:rsid w:val="00237006"/>
    <w:rsid w:val="002370AA"/>
    <w:rsid w:val="0026131A"/>
    <w:rsid w:val="002615CD"/>
    <w:rsid w:val="00265A36"/>
    <w:rsid w:val="00273419"/>
    <w:rsid w:val="002738C7"/>
    <w:rsid w:val="002754BA"/>
    <w:rsid w:val="00282D8A"/>
    <w:rsid w:val="002A6E57"/>
    <w:rsid w:val="002B560E"/>
    <w:rsid w:val="002B7BAD"/>
    <w:rsid w:val="002C6B32"/>
    <w:rsid w:val="002C7174"/>
    <w:rsid w:val="002E2591"/>
    <w:rsid w:val="002F21D4"/>
    <w:rsid w:val="002F7F40"/>
    <w:rsid w:val="00310313"/>
    <w:rsid w:val="0033480F"/>
    <w:rsid w:val="0035275B"/>
    <w:rsid w:val="00355DFA"/>
    <w:rsid w:val="00360293"/>
    <w:rsid w:val="00387B05"/>
    <w:rsid w:val="00393F99"/>
    <w:rsid w:val="003B62FE"/>
    <w:rsid w:val="003B6529"/>
    <w:rsid w:val="003D3056"/>
    <w:rsid w:val="003F0BB9"/>
    <w:rsid w:val="004162EC"/>
    <w:rsid w:val="00450BC7"/>
    <w:rsid w:val="00452FAA"/>
    <w:rsid w:val="0045439B"/>
    <w:rsid w:val="00481AA6"/>
    <w:rsid w:val="004877F4"/>
    <w:rsid w:val="004A312E"/>
    <w:rsid w:val="004C2B9C"/>
    <w:rsid w:val="004C574C"/>
    <w:rsid w:val="004E1037"/>
    <w:rsid w:val="004E7D93"/>
    <w:rsid w:val="005115EF"/>
    <w:rsid w:val="00511833"/>
    <w:rsid w:val="0051210D"/>
    <w:rsid w:val="005357A9"/>
    <w:rsid w:val="00535EC8"/>
    <w:rsid w:val="00536F2A"/>
    <w:rsid w:val="005430CF"/>
    <w:rsid w:val="00552EB0"/>
    <w:rsid w:val="0056170B"/>
    <w:rsid w:val="00566076"/>
    <w:rsid w:val="0057279E"/>
    <w:rsid w:val="00575C3F"/>
    <w:rsid w:val="005775E2"/>
    <w:rsid w:val="00590F9B"/>
    <w:rsid w:val="0059287E"/>
    <w:rsid w:val="005A1348"/>
    <w:rsid w:val="005A58B1"/>
    <w:rsid w:val="005B5E98"/>
    <w:rsid w:val="005D02DF"/>
    <w:rsid w:val="005D2885"/>
    <w:rsid w:val="005E43C2"/>
    <w:rsid w:val="005E7620"/>
    <w:rsid w:val="005F7394"/>
    <w:rsid w:val="00604C09"/>
    <w:rsid w:val="00616978"/>
    <w:rsid w:val="00620A8E"/>
    <w:rsid w:val="00635A79"/>
    <w:rsid w:val="00636054"/>
    <w:rsid w:val="00646F8D"/>
    <w:rsid w:val="00670B15"/>
    <w:rsid w:val="006864F0"/>
    <w:rsid w:val="006A13F7"/>
    <w:rsid w:val="006A5D55"/>
    <w:rsid w:val="006D7EC5"/>
    <w:rsid w:val="006E6E8A"/>
    <w:rsid w:val="006F05F5"/>
    <w:rsid w:val="006F0E74"/>
    <w:rsid w:val="006F3B4F"/>
    <w:rsid w:val="00713365"/>
    <w:rsid w:val="00714366"/>
    <w:rsid w:val="00720790"/>
    <w:rsid w:val="007505E6"/>
    <w:rsid w:val="0076473B"/>
    <w:rsid w:val="00767DEF"/>
    <w:rsid w:val="00770E87"/>
    <w:rsid w:val="00773603"/>
    <w:rsid w:val="00773FC9"/>
    <w:rsid w:val="00775BE3"/>
    <w:rsid w:val="00783D2C"/>
    <w:rsid w:val="00784C90"/>
    <w:rsid w:val="00784DCB"/>
    <w:rsid w:val="007B59B5"/>
    <w:rsid w:val="00802056"/>
    <w:rsid w:val="00810AA0"/>
    <w:rsid w:val="00822665"/>
    <w:rsid w:val="00827D14"/>
    <w:rsid w:val="0083339C"/>
    <w:rsid w:val="00842FB1"/>
    <w:rsid w:val="00853D2D"/>
    <w:rsid w:val="00854651"/>
    <w:rsid w:val="00854AED"/>
    <w:rsid w:val="00857093"/>
    <w:rsid w:val="008572F3"/>
    <w:rsid w:val="008767C0"/>
    <w:rsid w:val="00894AAC"/>
    <w:rsid w:val="008A6DE1"/>
    <w:rsid w:val="008B27D2"/>
    <w:rsid w:val="008B2B8A"/>
    <w:rsid w:val="008C4E2E"/>
    <w:rsid w:val="008D0383"/>
    <w:rsid w:val="008D0D71"/>
    <w:rsid w:val="008D38F1"/>
    <w:rsid w:val="008D394B"/>
    <w:rsid w:val="008D705F"/>
    <w:rsid w:val="008E3FFA"/>
    <w:rsid w:val="008F2F56"/>
    <w:rsid w:val="008F409F"/>
    <w:rsid w:val="008F40C4"/>
    <w:rsid w:val="008F4A9D"/>
    <w:rsid w:val="008F77F6"/>
    <w:rsid w:val="00916087"/>
    <w:rsid w:val="00921B88"/>
    <w:rsid w:val="009314AF"/>
    <w:rsid w:val="00943383"/>
    <w:rsid w:val="009758E5"/>
    <w:rsid w:val="00981E7A"/>
    <w:rsid w:val="00981E81"/>
    <w:rsid w:val="00982C97"/>
    <w:rsid w:val="00982E9D"/>
    <w:rsid w:val="00986B90"/>
    <w:rsid w:val="009A55D9"/>
    <w:rsid w:val="009B08B1"/>
    <w:rsid w:val="009B0CB1"/>
    <w:rsid w:val="009B245E"/>
    <w:rsid w:val="009B6AD4"/>
    <w:rsid w:val="009C1DEE"/>
    <w:rsid w:val="009D14B2"/>
    <w:rsid w:val="009D321D"/>
    <w:rsid w:val="009D7A1A"/>
    <w:rsid w:val="009D7E5E"/>
    <w:rsid w:val="009E40D4"/>
    <w:rsid w:val="009E4B6A"/>
    <w:rsid w:val="009E7DCD"/>
    <w:rsid w:val="009F0F1E"/>
    <w:rsid w:val="009F2FEF"/>
    <w:rsid w:val="009F4DB5"/>
    <w:rsid w:val="00A01CDB"/>
    <w:rsid w:val="00A04454"/>
    <w:rsid w:val="00A16FCD"/>
    <w:rsid w:val="00A2677E"/>
    <w:rsid w:val="00A4049C"/>
    <w:rsid w:val="00A5161A"/>
    <w:rsid w:val="00A61E76"/>
    <w:rsid w:val="00A73C59"/>
    <w:rsid w:val="00A832B9"/>
    <w:rsid w:val="00A9105B"/>
    <w:rsid w:val="00AA0E9E"/>
    <w:rsid w:val="00AA6A69"/>
    <w:rsid w:val="00AB16C1"/>
    <w:rsid w:val="00AB1926"/>
    <w:rsid w:val="00AD5458"/>
    <w:rsid w:val="00AD6C51"/>
    <w:rsid w:val="00AE69EC"/>
    <w:rsid w:val="00AF0A3B"/>
    <w:rsid w:val="00AF10C7"/>
    <w:rsid w:val="00AF67E7"/>
    <w:rsid w:val="00B127FC"/>
    <w:rsid w:val="00B175F4"/>
    <w:rsid w:val="00B42ED3"/>
    <w:rsid w:val="00B47673"/>
    <w:rsid w:val="00BD60E7"/>
    <w:rsid w:val="00C061E1"/>
    <w:rsid w:val="00C0692F"/>
    <w:rsid w:val="00C10E91"/>
    <w:rsid w:val="00C13E79"/>
    <w:rsid w:val="00C14FEA"/>
    <w:rsid w:val="00C23DD8"/>
    <w:rsid w:val="00C37C84"/>
    <w:rsid w:val="00C675BF"/>
    <w:rsid w:val="00C90B71"/>
    <w:rsid w:val="00CA0862"/>
    <w:rsid w:val="00CA4DAB"/>
    <w:rsid w:val="00CA5DC4"/>
    <w:rsid w:val="00CC370F"/>
    <w:rsid w:val="00D14865"/>
    <w:rsid w:val="00D32175"/>
    <w:rsid w:val="00D34579"/>
    <w:rsid w:val="00D3793F"/>
    <w:rsid w:val="00D44222"/>
    <w:rsid w:val="00D50CB5"/>
    <w:rsid w:val="00D73252"/>
    <w:rsid w:val="00D73E96"/>
    <w:rsid w:val="00D82052"/>
    <w:rsid w:val="00D82E67"/>
    <w:rsid w:val="00D95CBA"/>
    <w:rsid w:val="00DA0591"/>
    <w:rsid w:val="00DC34AE"/>
    <w:rsid w:val="00DC5FE9"/>
    <w:rsid w:val="00DE3AA1"/>
    <w:rsid w:val="00E03ECE"/>
    <w:rsid w:val="00E32F21"/>
    <w:rsid w:val="00E341ED"/>
    <w:rsid w:val="00E44F3D"/>
    <w:rsid w:val="00E90863"/>
    <w:rsid w:val="00E90BEC"/>
    <w:rsid w:val="00EA5924"/>
    <w:rsid w:val="00EC459F"/>
    <w:rsid w:val="00EC6772"/>
    <w:rsid w:val="00ED6152"/>
    <w:rsid w:val="00EE7C30"/>
    <w:rsid w:val="00EF447A"/>
    <w:rsid w:val="00F01371"/>
    <w:rsid w:val="00F204BE"/>
    <w:rsid w:val="00F220A7"/>
    <w:rsid w:val="00F33902"/>
    <w:rsid w:val="00F57481"/>
    <w:rsid w:val="00F63820"/>
    <w:rsid w:val="00F85F64"/>
    <w:rsid w:val="00F91154"/>
    <w:rsid w:val="00FA5BD8"/>
    <w:rsid w:val="00FB4178"/>
    <w:rsid w:val="00FB6959"/>
    <w:rsid w:val="00FB73B9"/>
    <w:rsid w:val="00FC25E4"/>
    <w:rsid w:val="00FD1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AB16C1"/>
    <w:pPr>
      <w:jc w:val="center"/>
    </w:pPr>
    <w:rPr>
      <w:szCs w:val="20"/>
    </w:rPr>
  </w:style>
  <w:style w:type="character" w:customStyle="1" w:styleId="ZkladntextChar">
    <w:name w:val="Základní text Char"/>
    <w:basedOn w:val="Standardnpsmoodstavce"/>
    <w:link w:val="Zkladntext"/>
    <w:uiPriority w:val="99"/>
    <w:rsid w:val="00AB16C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AB16C1"/>
    <w:rPr>
      <w:szCs w:val="20"/>
    </w:rPr>
  </w:style>
  <w:style w:type="character" w:customStyle="1" w:styleId="Zkladntext2Char">
    <w:name w:val="Základní text 2 Char"/>
    <w:basedOn w:val="Standardnpsmoodstavce"/>
    <w:link w:val="Zkladntext2"/>
    <w:rsid w:val="00AB16C1"/>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AB16C1"/>
    <w:pPr>
      <w:ind w:left="720"/>
      <w:contextualSpacing/>
    </w:pPr>
    <w:rPr>
      <w:sz w:val="20"/>
      <w:szCs w:val="20"/>
    </w:rPr>
  </w:style>
  <w:style w:type="paragraph" w:customStyle="1" w:styleId="Default">
    <w:name w:val="Default"/>
    <w:rsid w:val="00AB16C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B47673"/>
    <w:pPr>
      <w:spacing w:after="160" w:line="240" w:lineRule="exact"/>
    </w:pPr>
    <w:rPr>
      <w:rFonts w:ascii="Tahoma" w:hAnsi="Tahoma"/>
      <w:sz w:val="20"/>
      <w:szCs w:val="20"/>
      <w:lang w:val="en-US" w:eastAsia="en-US"/>
    </w:rPr>
  </w:style>
  <w:style w:type="paragraph" w:styleId="Textvysvtlivek">
    <w:name w:val="endnote text"/>
    <w:basedOn w:val="Normln"/>
    <w:link w:val="TextvysvtlivekChar"/>
    <w:uiPriority w:val="99"/>
    <w:semiHidden/>
    <w:unhideWhenUsed/>
    <w:rsid w:val="006A13F7"/>
    <w:rPr>
      <w:sz w:val="20"/>
      <w:szCs w:val="20"/>
    </w:rPr>
  </w:style>
  <w:style w:type="character" w:customStyle="1" w:styleId="TextvysvtlivekChar">
    <w:name w:val="Text vysvětlivek Char"/>
    <w:basedOn w:val="Standardnpsmoodstavce"/>
    <w:link w:val="Textvysvtlivek"/>
    <w:uiPriority w:val="99"/>
    <w:semiHidden/>
    <w:rsid w:val="006A13F7"/>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6A13F7"/>
    <w:rPr>
      <w:vertAlign w:val="superscript"/>
    </w:rPr>
  </w:style>
  <w:style w:type="paragraph" w:styleId="Textpoznpodarou">
    <w:name w:val="footnote text"/>
    <w:basedOn w:val="Normln"/>
    <w:link w:val="TextpoznpodarouChar"/>
    <w:uiPriority w:val="99"/>
    <w:semiHidden/>
    <w:unhideWhenUsed/>
    <w:rsid w:val="006A13F7"/>
    <w:rPr>
      <w:sz w:val="20"/>
      <w:szCs w:val="20"/>
    </w:rPr>
  </w:style>
  <w:style w:type="character" w:customStyle="1" w:styleId="TextpoznpodarouChar">
    <w:name w:val="Text pozn. pod čarou Char"/>
    <w:basedOn w:val="Standardnpsmoodstavce"/>
    <w:link w:val="Textpoznpodarou"/>
    <w:uiPriority w:val="99"/>
    <w:semiHidden/>
    <w:rsid w:val="006A13F7"/>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6A13F7"/>
    <w:rPr>
      <w:vertAlign w:val="superscript"/>
    </w:rPr>
  </w:style>
  <w:style w:type="paragraph" w:styleId="Normlnweb">
    <w:name w:val="Normal (Web)"/>
    <w:basedOn w:val="Normln"/>
    <w:uiPriority w:val="99"/>
    <w:unhideWhenUsed/>
    <w:rsid w:val="001C1683"/>
    <w:pPr>
      <w:spacing w:before="100" w:beforeAutospacing="1" w:after="100" w:afterAutospacing="1"/>
    </w:pPr>
  </w:style>
  <w:style w:type="character" w:styleId="Odkaznakoment">
    <w:name w:val="annotation reference"/>
    <w:basedOn w:val="Standardnpsmoodstavce"/>
    <w:uiPriority w:val="99"/>
    <w:semiHidden/>
    <w:unhideWhenUsed/>
    <w:rsid w:val="00FC25E4"/>
    <w:rPr>
      <w:sz w:val="16"/>
      <w:szCs w:val="16"/>
    </w:rPr>
  </w:style>
  <w:style w:type="paragraph" w:styleId="Textkomente">
    <w:name w:val="annotation text"/>
    <w:basedOn w:val="Normln"/>
    <w:link w:val="TextkomenteChar"/>
    <w:uiPriority w:val="99"/>
    <w:semiHidden/>
    <w:unhideWhenUsed/>
    <w:rsid w:val="00FC25E4"/>
    <w:rPr>
      <w:sz w:val="20"/>
      <w:szCs w:val="20"/>
    </w:rPr>
  </w:style>
  <w:style w:type="character" w:customStyle="1" w:styleId="TextkomenteChar">
    <w:name w:val="Text komentáře Char"/>
    <w:basedOn w:val="Standardnpsmoodstavce"/>
    <w:link w:val="Textkomente"/>
    <w:uiPriority w:val="99"/>
    <w:semiHidden/>
    <w:rsid w:val="00FC25E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C25E4"/>
    <w:rPr>
      <w:b/>
      <w:bCs/>
    </w:rPr>
  </w:style>
  <w:style w:type="character" w:customStyle="1" w:styleId="PedmtkomenteChar">
    <w:name w:val="Předmět komentáře Char"/>
    <w:basedOn w:val="TextkomenteChar"/>
    <w:link w:val="Pedmtkomente"/>
    <w:uiPriority w:val="99"/>
    <w:semiHidden/>
    <w:rsid w:val="00FC25E4"/>
    <w:rPr>
      <w:rFonts w:ascii="Times New Roman" w:eastAsia="Times New Roman" w:hAnsi="Times New Roman" w:cs="Times New Roman"/>
      <w:b/>
      <w:bCs/>
      <w:sz w:val="20"/>
      <w:szCs w:val="20"/>
      <w:lang w:eastAsia="cs-CZ"/>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EF447A"/>
    <w:pPr>
      <w:spacing w:after="160" w:line="240" w:lineRule="exact"/>
    </w:pPr>
    <w:rPr>
      <w:rFonts w:ascii="Tahoma" w:hAnsi="Tahoma"/>
      <w:sz w:val="20"/>
      <w:szCs w:val="20"/>
      <w:lang w:val="en-US" w:eastAsia="en-US"/>
    </w:rPr>
  </w:style>
  <w:style w:type="paragraph" w:customStyle="1" w:styleId="CharCharCharCharCharCharCharCharCharCharCharChar">
    <w:name w:val="Char Char Char Char Char Char Char Char Char Char Char Char"/>
    <w:basedOn w:val="Normln"/>
    <w:rsid w:val="00AF0A3B"/>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AB16C1"/>
    <w:pPr>
      <w:jc w:val="center"/>
    </w:pPr>
    <w:rPr>
      <w:szCs w:val="20"/>
    </w:rPr>
  </w:style>
  <w:style w:type="character" w:customStyle="1" w:styleId="ZkladntextChar">
    <w:name w:val="Základní text Char"/>
    <w:basedOn w:val="Standardnpsmoodstavce"/>
    <w:link w:val="Zkladntext"/>
    <w:uiPriority w:val="99"/>
    <w:rsid w:val="00AB16C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AB16C1"/>
    <w:rPr>
      <w:szCs w:val="20"/>
    </w:rPr>
  </w:style>
  <w:style w:type="character" w:customStyle="1" w:styleId="Zkladntext2Char">
    <w:name w:val="Základní text 2 Char"/>
    <w:basedOn w:val="Standardnpsmoodstavce"/>
    <w:link w:val="Zkladntext2"/>
    <w:rsid w:val="00AB16C1"/>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AB16C1"/>
    <w:pPr>
      <w:ind w:left="720"/>
      <w:contextualSpacing/>
    </w:pPr>
    <w:rPr>
      <w:sz w:val="20"/>
      <w:szCs w:val="20"/>
    </w:rPr>
  </w:style>
  <w:style w:type="paragraph" w:customStyle="1" w:styleId="Default">
    <w:name w:val="Default"/>
    <w:rsid w:val="00AB16C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B47673"/>
    <w:pPr>
      <w:spacing w:after="160" w:line="240" w:lineRule="exact"/>
    </w:pPr>
    <w:rPr>
      <w:rFonts w:ascii="Tahoma" w:hAnsi="Tahoma"/>
      <w:sz w:val="20"/>
      <w:szCs w:val="20"/>
      <w:lang w:val="en-US" w:eastAsia="en-US"/>
    </w:rPr>
  </w:style>
  <w:style w:type="paragraph" w:styleId="Textvysvtlivek">
    <w:name w:val="endnote text"/>
    <w:basedOn w:val="Normln"/>
    <w:link w:val="TextvysvtlivekChar"/>
    <w:uiPriority w:val="99"/>
    <w:semiHidden/>
    <w:unhideWhenUsed/>
    <w:rsid w:val="006A13F7"/>
    <w:rPr>
      <w:sz w:val="20"/>
      <w:szCs w:val="20"/>
    </w:rPr>
  </w:style>
  <w:style w:type="character" w:customStyle="1" w:styleId="TextvysvtlivekChar">
    <w:name w:val="Text vysvětlivek Char"/>
    <w:basedOn w:val="Standardnpsmoodstavce"/>
    <w:link w:val="Textvysvtlivek"/>
    <w:uiPriority w:val="99"/>
    <w:semiHidden/>
    <w:rsid w:val="006A13F7"/>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6A13F7"/>
    <w:rPr>
      <w:vertAlign w:val="superscript"/>
    </w:rPr>
  </w:style>
  <w:style w:type="paragraph" w:styleId="Textpoznpodarou">
    <w:name w:val="footnote text"/>
    <w:basedOn w:val="Normln"/>
    <w:link w:val="TextpoznpodarouChar"/>
    <w:uiPriority w:val="99"/>
    <w:semiHidden/>
    <w:unhideWhenUsed/>
    <w:rsid w:val="006A13F7"/>
    <w:rPr>
      <w:sz w:val="20"/>
      <w:szCs w:val="20"/>
    </w:rPr>
  </w:style>
  <w:style w:type="character" w:customStyle="1" w:styleId="TextpoznpodarouChar">
    <w:name w:val="Text pozn. pod čarou Char"/>
    <w:basedOn w:val="Standardnpsmoodstavce"/>
    <w:link w:val="Textpoznpodarou"/>
    <w:uiPriority w:val="99"/>
    <w:semiHidden/>
    <w:rsid w:val="006A13F7"/>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6A13F7"/>
    <w:rPr>
      <w:vertAlign w:val="superscript"/>
    </w:rPr>
  </w:style>
  <w:style w:type="paragraph" w:styleId="Normlnweb">
    <w:name w:val="Normal (Web)"/>
    <w:basedOn w:val="Normln"/>
    <w:uiPriority w:val="99"/>
    <w:unhideWhenUsed/>
    <w:rsid w:val="001C1683"/>
    <w:pPr>
      <w:spacing w:before="100" w:beforeAutospacing="1" w:after="100" w:afterAutospacing="1"/>
    </w:pPr>
  </w:style>
  <w:style w:type="character" w:styleId="Odkaznakoment">
    <w:name w:val="annotation reference"/>
    <w:basedOn w:val="Standardnpsmoodstavce"/>
    <w:uiPriority w:val="99"/>
    <w:semiHidden/>
    <w:unhideWhenUsed/>
    <w:rsid w:val="00FC25E4"/>
    <w:rPr>
      <w:sz w:val="16"/>
      <w:szCs w:val="16"/>
    </w:rPr>
  </w:style>
  <w:style w:type="paragraph" w:styleId="Textkomente">
    <w:name w:val="annotation text"/>
    <w:basedOn w:val="Normln"/>
    <w:link w:val="TextkomenteChar"/>
    <w:uiPriority w:val="99"/>
    <w:semiHidden/>
    <w:unhideWhenUsed/>
    <w:rsid w:val="00FC25E4"/>
    <w:rPr>
      <w:sz w:val="20"/>
      <w:szCs w:val="20"/>
    </w:rPr>
  </w:style>
  <w:style w:type="character" w:customStyle="1" w:styleId="TextkomenteChar">
    <w:name w:val="Text komentáře Char"/>
    <w:basedOn w:val="Standardnpsmoodstavce"/>
    <w:link w:val="Textkomente"/>
    <w:uiPriority w:val="99"/>
    <w:semiHidden/>
    <w:rsid w:val="00FC25E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C25E4"/>
    <w:rPr>
      <w:b/>
      <w:bCs/>
    </w:rPr>
  </w:style>
  <w:style w:type="character" w:customStyle="1" w:styleId="PedmtkomenteChar">
    <w:name w:val="Předmět komentáře Char"/>
    <w:basedOn w:val="TextkomenteChar"/>
    <w:link w:val="Pedmtkomente"/>
    <w:uiPriority w:val="99"/>
    <w:semiHidden/>
    <w:rsid w:val="00FC25E4"/>
    <w:rPr>
      <w:rFonts w:ascii="Times New Roman" w:eastAsia="Times New Roman" w:hAnsi="Times New Roman" w:cs="Times New Roman"/>
      <w:b/>
      <w:bCs/>
      <w:sz w:val="20"/>
      <w:szCs w:val="20"/>
      <w:lang w:eastAsia="cs-CZ"/>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EF447A"/>
    <w:pPr>
      <w:spacing w:after="160" w:line="240" w:lineRule="exact"/>
    </w:pPr>
    <w:rPr>
      <w:rFonts w:ascii="Tahoma" w:hAnsi="Tahoma"/>
      <w:sz w:val="20"/>
      <w:szCs w:val="20"/>
      <w:lang w:val="en-US" w:eastAsia="en-US"/>
    </w:rPr>
  </w:style>
  <w:style w:type="paragraph" w:customStyle="1" w:styleId="CharCharCharCharCharCharCharCharCharCharCharChar">
    <w:name w:val="Char Char Char Char Char Char Char Char Char Char Char Char"/>
    <w:basedOn w:val="Normln"/>
    <w:rsid w:val="00AF0A3B"/>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87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60656-F576-4248-A7A3-2DDDA800C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1033</Words>
  <Characters>6098</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4</cp:revision>
  <cp:lastPrinted>2020-01-21T14:23:00Z</cp:lastPrinted>
  <dcterms:created xsi:type="dcterms:W3CDTF">2020-01-20T11:31:00Z</dcterms:created>
  <dcterms:modified xsi:type="dcterms:W3CDTF">2020-01-21T14:23:00Z</dcterms:modified>
</cp:coreProperties>
</file>